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C46B" w14:textId="63F9E5D5" w:rsidR="00E75D18" w:rsidRPr="000B102A" w:rsidRDefault="00AC3416" w:rsidP="00AC3416">
      <w:pPr>
        <w:jc w:val="center"/>
        <w:rPr>
          <w:rFonts w:ascii="Century Gothic" w:hAnsi="Century Gothic"/>
          <w:b/>
          <w:bCs/>
        </w:rPr>
      </w:pPr>
      <w:r w:rsidRPr="000B102A">
        <w:rPr>
          <w:rFonts w:ascii="Century Gothic" w:hAnsi="Century Gothic"/>
          <w:b/>
          <w:bCs/>
        </w:rPr>
        <w:t>OBGYN&amp;RS Large Databases Available for Research</w:t>
      </w:r>
    </w:p>
    <w:p w14:paraId="77E533A0" w14:textId="77777777" w:rsidR="00AC3416" w:rsidRPr="000B102A" w:rsidRDefault="00AC3416" w:rsidP="00AC3416">
      <w:pPr>
        <w:jc w:val="center"/>
        <w:rPr>
          <w:rFonts w:ascii="Century Gothic" w:hAnsi="Century Gothic"/>
        </w:rPr>
      </w:pPr>
    </w:p>
    <w:p w14:paraId="5954BB4D" w14:textId="2004F871" w:rsidR="00AC3416" w:rsidRPr="000B102A" w:rsidRDefault="00AC3416" w:rsidP="000B102A">
      <w:pPr>
        <w:rPr>
          <w:rFonts w:ascii="Century Gothic" w:hAnsi="Century Gothic"/>
        </w:rPr>
      </w:pPr>
      <w:r w:rsidRPr="000B102A">
        <w:rPr>
          <w:rFonts w:ascii="Century Gothic" w:hAnsi="Century Gothic"/>
        </w:rPr>
        <w:t xml:space="preserve">The Department of Obstetrics, Gynecology &amp; Reproductive Sciences would like to help support faculty and trainees with their research projects. Large national databases can be used for clinical studies that have high impact. The Department now has available multiple databases as well as biostatistical and programming support to complete these projects. </w:t>
      </w:r>
    </w:p>
    <w:p w14:paraId="32909779" w14:textId="77777777" w:rsidR="00AC3416" w:rsidRPr="000B102A" w:rsidRDefault="00AC3416" w:rsidP="00AC3416">
      <w:pPr>
        <w:jc w:val="center"/>
        <w:rPr>
          <w:rFonts w:ascii="Century Gothic" w:hAnsi="Century Gothic"/>
        </w:rPr>
      </w:pPr>
    </w:p>
    <w:p w14:paraId="2A8DA356" w14:textId="69317A99" w:rsidR="00AC3416" w:rsidRPr="000B102A" w:rsidRDefault="00AC3416" w:rsidP="00AC3416">
      <w:pPr>
        <w:rPr>
          <w:rFonts w:ascii="Century Gothic" w:hAnsi="Century Gothic"/>
          <w:b/>
          <w:bCs/>
        </w:rPr>
      </w:pPr>
      <w:r w:rsidRPr="000B102A">
        <w:rPr>
          <w:rFonts w:ascii="Century Gothic" w:hAnsi="Century Gothic"/>
          <w:b/>
          <w:bCs/>
        </w:rPr>
        <w:t>Q&amp;A</w:t>
      </w:r>
    </w:p>
    <w:p w14:paraId="6C296F0D" w14:textId="77777777" w:rsidR="00AC3416" w:rsidRPr="000B102A" w:rsidRDefault="00AC3416" w:rsidP="00AC3416">
      <w:pPr>
        <w:rPr>
          <w:rFonts w:ascii="Century Gothic" w:hAnsi="Century Gothic"/>
          <w:b/>
          <w:bCs/>
        </w:rPr>
      </w:pPr>
    </w:p>
    <w:p w14:paraId="6587C6A7" w14:textId="12BB943C" w:rsidR="00AC3416" w:rsidRPr="000B102A" w:rsidRDefault="00AC3416" w:rsidP="00AC3416">
      <w:pPr>
        <w:rPr>
          <w:rFonts w:ascii="Century Gothic" w:hAnsi="Century Gothic"/>
        </w:rPr>
      </w:pPr>
      <w:r w:rsidRPr="000B102A">
        <w:rPr>
          <w:rFonts w:ascii="Century Gothic" w:hAnsi="Century Gothic"/>
        </w:rPr>
        <w:t>Q: What databases are available for use?</w:t>
      </w:r>
    </w:p>
    <w:p w14:paraId="4BAF433A" w14:textId="7AE923DB" w:rsidR="00AC3416" w:rsidRPr="000B102A" w:rsidRDefault="00AC3416" w:rsidP="00AC3416">
      <w:pPr>
        <w:rPr>
          <w:rFonts w:ascii="Century Gothic" w:hAnsi="Century Gothic"/>
        </w:rPr>
      </w:pPr>
      <w:r w:rsidRPr="000B102A">
        <w:rPr>
          <w:rFonts w:ascii="Century Gothic" w:hAnsi="Century Gothic"/>
        </w:rPr>
        <w:t>A: The department has 2016-2020 data on the Nationwide Ambulatory Surgery Sample and 2019-2020 data on the National Inpatient Surgery Sample databases. Read more by clicking the hyperlinks below.</w:t>
      </w:r>
    </w:p>
    <w:p w14:paraId="257193C2" w14:textId="77777777" w:rsidR="00AC3416" w:rsidRPr="000B102A" w:rsidRDefault="00AC3416" w:rsidP="00AC3416">
      <w:pPr>
        <w:rPr>
          <w:rFonts w:ascii="Century Gothic" w:hAnsi="Century Gothic"/>
        </w:rPr>
      </w:pPr>
    </w:p>
    <w:p w14:paraId="68DA571F" w14:textId="77777777" w:rsidR="00AC3416" w:rsidRPr="000B102A" w:rsidRDefault="00AC3416" w:rsidP="00AC3416">
      <w:pPr>
        <w:pStyle w:val="BodyText"/>
        <w:jc w:val="center"/>
        <w:rPr>
          <w:rFonts w:ascii="Century Gothic" w:hAnsi="Century Gothic"/>
        </w:rPr>
      </w:pPr>
      <w:hyperlink r:id="rId7">
        <w:r w:rsidRPr="000B102A">
          <w:rPr>
            <w:rFonts w:ascii="Century Gothic" w:hAnsi="Century Gothic"/>
            <w:color w:val="0462C1"/>
            <w:spacing w:val="-60"/>
            <w:u w:val="single" w:color="0462C1"/>
          </w:rPr>
          <w:t xml:space="preserve"> </w:t>
        </w:r>
        <w:r w:rsidRPr="000B102A">
          <w:rPr>
            <w:rFonts w:ascii="Century Gothic" w:hAnsi="Century Gothic"/>
            <w:color w:val="0462C1"/>
            <w:w w:val="110"/>
            <w:u w:val="single" w:color="0462C1"/>
          </w:rPr>
          <w:t>Overview of the Nationwide Ambulatory Surgery Sample (NASS)</w:t>
        </w:r>
      </w:hyperlink>
    </w:p>
    <w:p w14:paraId="1B4D2904" w14:textId="77777777" w:rsidR="00AC3416" w:rsidRPr="000B102A" w:rsidRDefault="00AC3416" w:rsidP="00AC3416">
      <w:pPr>
        <w:pStyle w:val="BodyText"/>
        <w:spacing w:before="20"/>
        <w:jc w:val="center"/>
        <w:rPr>
          <w:rFonts w:ascii="Century Gothic" w:hAnsi="Century Gothic"/>
        </w:rPr>
      </w:pPr>
      <w:hyperlink r:id="rId8">
        <w:r w:rsidRPr="000B102A">
          <w:rPr>
            <w:rFonts w:ascii="Century Gothic" w:hAnsi="Century Gothic"/>
            <w:color w:val="0462C1"/>
            <w:spacing w:val="-60"/>
            <w:u w:val="single" w:color="0462C1"/>
          </w:rPr>
          <w:t xml:space="preserve"> </w:t>
        </w:r>
        <w:r w:rsidRPr="000B102A">
          <w:rPr>
            <w:rFonts w:ascii="Century Gothic" w:hAnsi="Century Gothic"/>
            <w:color w:val="0462C1"/>
            <w:w w:val="110"/>
            <w:u w:val="single" w:color="0462C1"/>
          </w:rPr>
          <w:t>Overview of the National (Nationwide) Inpatient Sample</w:t>
        </w:r>
        <w:r w:rsidRPr="000B102A">
          <w:rPr>
            <w:rFonts w:ascii="Century Gothic" w:hAnsi="Century Gothic"/>
            <w:color w:val="0462C1"/>
            <w:spacing w:val="-54"/>
            <w:w w:val="110"/>
            <w:u w:val="single" w:color="0462C1"/>
          </w:rPr>
          <w:t xml:space="preserve"> </w:t>
        </w:r>
        <w:r w:rsidRPr="000B102A">
          <w:rPr>
            <w:rFonts w:ascii="Century Gothic" w:hAnsi="Century Gothic"/>
            <w:color w:val="0462C1"/>
            <w:w w:val="110"/>
            <w:u w:val="single" w:color="0462C1"/>
          </w:rPr>
          <w:t>(NIS)</w:t>
        </w:r>
      </w:hyperlink>
    </w:p>
    <w:p w14:paraId="7A2B2F61" w14:textId="77777777" w:rsidR="00AC3416" w:rsidRPr="000B102A" w:rsidRDefault="00AC3416" w:rsidP="00AC3416">
      <w:pPr>
        <w:pStyle w:val="BodyText"/>
        <w:spacing w:before="7"/>
        <w:rPr>
          <w:rFonts w:ascii="Century Gothic" w:hAnsi="Century Gothic"/>
        </w:rPr>
      </w:pPr>
    </w:p>
    <w:tbl>
      <w:tblPr>
        <w:tblW w:w="0" w:type="auto"/>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1169"/>
      </w:tblGrid>
      <w:tr w:rsidR="00AC3416" w:rsidRPr="000B102A" w14:paraId="570E7E5A" w14:textId="77777777" w:rsidTr="00D87E17">
        <w:trPr>
          <w:trHeight w:val="294"/>
        </w:trPr>
        <w:tc>
          <w:tcPr>
            <w:tcW w:w="5492" w:type="dxa"/>
          </w:tcPr>
          <w:p w14:paraId="65C58D87" w14:textId="77777777" w:rsidR="00AC3416" w:rsidRPr="000B102A" w:rsidRDefault="00AC3416" w:rsidP="00D87E17">
            <w:pPr>
              <w:pStyle w:val="TableParagraph"/>
              <w:rPr>
                <w:rFonts w:ascii="Century Gothic" w:hAnsi="Century Gothic"/>
                <w:sz w:val="24"/>
                <w:szCs w:val="24"/>
              </w:rPr>
            </w:pPr>
            <w:r w:rsidRPr="000B102A">
              <w:rPr>
                <w:rFonts w:ascii="Century Gothic" w:hAnsi="Century Gothic"/>
                <w:w w:val="110"/>
                <w:sz w:val="24"/>
                <w:szCs w:val="24"/>
              </w:rPr>
              <w:t>Nationwide Ambulatory Surgery Sample</w:t>
            </w:r>
          </w:p>
        </w:tc>
        <w:tc>
          <w:tcPr>
            <w:tcW w:w="1169" w:type="dxa"/>
          </w:tcPr>
          <w:p w14:paraId="66D36675" w14:textId="77777777" w:rsidR="00AC3416" w:rsidRPr="000B102A" w:rsidRDefault="00AC3416" w:rsidP="00D87E17">
            <w:pPr>
              <w:pStyle w:val="TableParagraph"/>
              <w:ind w:left="108"/>
              <w:rPr>
                <w:rFonts w:ascii="Century Gothic" w:hAnsi="Century Gothic"/>
                <w:sz w:val="24"/>
                <w:szCs w:val="24"/>
              </w:rPr>
            </w:pPr>
            <w:r w:rsidRPr="000B102A">
              <w:rPr>
                <w:rFonts w:ascii="Century Gothic" w:hAnsi="Century Gothic"/>
                <w:sz w:val="24"/>
                <w:szCs w:val="24"/>
              </w:rPr>
              <w:t>2020</w:t>
            </w:r>
          </w:p>
        </w:tc>
      </w:tr>
      <w:tr w:rsidR="00AC3416" w:rsidRPr="000B102A" w14:paraId="7280C33C" w14:textId="77777777" w:rsidTr="00D87E17">
        <w:trPr>
          <w:trHeight w:val="294"/>
        </w:trPr>
        <w:tc>
          <w:tcPr>
            <w:tcW w:w="5492" w:type="dxa"/>
          </w:tcPr>
          <w:p w14:paraId="62123974" w14:textId="77777777" w:rsidR="00AC3416" w:rsidRPr="000B102A" w:rsidRDefault="00AC3416" w:rsidP="00D87E17">
            <w:pPr>
              <w:pStyle w:val="TableParagraph"/>
              <w:rPr>
                <w:rFonts w:ascii="Century Gothic" w:hAnsi="Century Gothic"/>
                <w:sz w:val="24"/>
                <w:szCs w:val="24"/>
              </w:rPr>
            </w:pPr>
            <w:r w:rsidRPr="000B102A">
              <w:rPr>
                <w:rFonts w:ascii="Century Gothic" w:hAnsi="Century Gothic"/>
                <w:w w:val="110"/>
                <w:sz w:val="24"/>
                <w:szCs w:val="24"/>
              </w:rPr>
              <w:t>Nationwide Ambulatory Surgery Sample</w:t>
            </w:r>
          </w:p>
        </w:tc>
        <w:tc>
          <w:tcPr>
            <w:tcW w:w="1169" w:type="dxa"/>
          </w:tcPr>
          <w:p w14:paraId="70331385" w14:textId="77777777" w:rsidR="00AC3416" w:rsidRPr="000B102A" w:rsidRDefault="00AC3416" w:rsidP="00D87E17">
            <w:pPr>
              <w:pStyle w:val="TableParagraph"/>
              <w:ind w:left="108"/>
              <w:rPr>
                <w:rFonts w:ascii="Century Gothic" w:hAnsi="Century Gothic"/>
                <w:sz w:val="24"/>
                <w:szCs w:val="24"/>
              </w:rPr>
            </w:pPr>
            <w:r w:rsidRPr="000B102A">
              <w:rPr>
                <w:rFonts w:ascii="Century Gothic" w:hAnsi="Century Gothic"/>
                <w:sz w:val="24"/>
                <w:szCs w:val="24"/>
              </w:rPr>
              <w:t>2019</w:t>
            </w:r>
          </w:p>
        </w:tc>
      </w:tr>
      <w:tr w:rsidR="00AC3416" w:rsidRPr="000B102A" w14:paraId="3BAD277C" w14:textId="77777777" w:rsidTr="00D87E17">
        <w:trPr>
          <w:trHeight w:val="292"/>
        </w:trPr>
        <w:tc>
          <w:tcPr>
            <w:tcW w:w="5492" w:type="dxa"/>
          </w:tcPr>
          <w:p w14:paraId="50CEC09E" w14:textId="77777777" w:rsidR="00AC3416" w:rsidRPr="000B102A" w:rsidRDefault="00AC3416" w:rsidP="00D87E17">
            <w:pPr>
              <w:pStyle w:val="TableParagraph"/>
              <w:spacing w:before="14"/>
              <w:rPr>
                <w:rFonts w:ascii="Century Gothic" w:hAnsi="Century Gothic"/>
                <w:sz w:val="24"/>
                <w:szCs w:val="24"/>
              </w:rPr>
            </w:pPr>
            <w:r w:rsidRPr="000B102A">
              <w:rPr>
                <w:rFonts w:ascii="Century Gothic" w:hAnsi="Century Gothic"/>
                <w:w w:val="110"/>
                <w:sz w:val="24"/>
                <w:szCs w:val="24"/>
              </w:rPr>
              <w:t>Nationwide Ambulatory Surgery Sample</w:t>
            </w:r>
          </w:p>
        </w:tc>
        <w:tc>
          <w:tcPr>
            <w:tcW w:w="1169" w:type="dxa"/>
          </w:tcPr>
          <w:p w14:paraId="26C055ED" w14:textId="77777777" w:rsidR="00AC3416" w:rsidRPr="000B102A" w:rsidRDefault="00AC3416" w:rsidP="00D87E17">
            <w:pPr>
              <w:pStyle w:val="TableParagraph"/>
              <w:spacing w:before="14"/>
              <w:ind w:left="108"/>
              <w:rPr>
                <w:rFonts w:ascii="Century Gothic" w:hAnsi="Century Gothic"/>
                <w:sz w:val="24"/>
                <w:szCs w:val="24"/>
              </w:rPr>
            </w:pPr>
            <w:r w:rsidRPr="000B102A">
              <w:rPr>
                <w:rFonts w:ascii="Century Gothic" w:hAnsi="Century Gothic"/>
                <w:sz w:val="24"/>
                <w:szCs w:val="24"/>
              </w:rPr>
              <w:t>2018</w:t>
            </w:r>
          </w:p>
        </w:tc>
      </w:tr>
      <w:tr w:rsidR="00AC3416" w:rsidRPr="000B102A" w14:paraId="713CE6D2" w14:textId="77777777" w:rsidTr="00D87E17">
        <w:trPr>
          <w:trHeight w:val="294"/>
        </w:trPr>
        <w:tc>
          <w:tcPr>
            <w:tcW w:w="5492" w:type="dxa"/>
          </w:tcPr>
          <w:p w14:paraId="7CD09756" w14:textId="77777777" w:rsidR="00AC3416" w:rsidRPr="000B102A" w:rsidRDefault="00AC3416" w:rsidP="00D87E17">
            <w:pPr>
              <w:pStyle w:val="TableParagraph"/>
              <w:rPr>
                <w:rFonts w:ascii="Century Gothic" w:hAnsi="Century Gothic"/>
                <w:sz w:val="24"/>
                <w:szCs w:val="24"/>
              </w:rPr>
            </w:pPr>
            <w:r w:rsidRPr="000B102A">
              <w:rPr>
                <w:rFonts w:ascii="Century Gothic" w:hAnsi="Century Gothic"/>
                <w:w w:val="110"/>
                <w:sz w:val="24"/>
                <w:szCs w:val="24"/>
              </w:rPr>
              <w:t>Nationwide Ambulatory Surgery Sample</w:t>
            </w:r>
          </w:p>
        </w:tc>
        <w:tc>
          <w:tcPr>
            <w:tcW w:w="1169" w:type="dxa"/>
          </w:tcPr>
          <w:p w14:paraId="694AAF88" w14:textId="77777777" w:rsidR="00AC3416" w:rsidRPr="000B102A" w:rsidRDefault="00AC3416" w:rsidP="00D87E17">
            <w:pPr>
              <w:pStyle w:val="TableParagraph"/>
              <w:ind w:left="108"/>
              <w:rPr>
                <w:rFonts w:ascii="Century Gothic" w:hAnsi="Century Gothic"/>
                <w:sz w:val="24"/>
                <w:szCs w:val="24"/>
              </w:rPr>
            </w:pPr>
            <w:r w:rsidRPr="000B102A">
              <w:rPr>
                <w:rFonts w:ascii="Century Gothic" w:hAnsi="Century Gothic"/>
                <w:sz w:val="24"/>
                <w:szCs w:val="24"/>
              </w:rPr>
              <w:t>2017</w:t>
            </w:r>
          </w:p>
        </w:tc>
      </w:tr>
      <w:tr w:rsidR="00AC3416" w:rsidRPr="000B102A" w14:paraId="3937FD15" w14:textId="77777777" w:rsidTr="00D87E17">
        <w:trPr>
          <w:trHeight w:val="294"/>
        </w:trPr>
        <w:tc>
          <w:tcPr>
            <w:tcW w:w="5492" w:type="dxa"/>
          </w:tcPr>
          <w:p w14:paraId="486FEE24" w14:textId="77777777" w:rsidR="00AC3416" w:rsidRPr="000B102A" w:rsidRDefault="00AC3416" w:rsidP="00D87E17">
            <w:pPr>
              <w:pStyle w:val="TableParagraph"/>
              <w:rPr>
                <w:rFonts w:ascii="Century Gothic" w:hAnsi="Century Gothic"/>
                <w:sz w:val="24"/>
                <w:szCs w:val="24"/>
              </w:rPr>
            </w:pPr>
            <w:r w:rsidRPr="000B102A">
              <w:rPr>
                <w:rFonts w:ascii="Century Gothic" w:hAnsi="Century Gothic"/>
                <w:w w:val="110"/>
                <w:sz w:val="24"/>
                <w:szCs w:val="24"/>
              </w:rPr>
              <w:t>Nationwide Ambulatory Surgery Sample</w:t>
            </w:r>
          </w:p>
        </w:tc>
        <w:tc>
          <w:tcPr>
            <w:tcW w:w="1169" w:type="dxa"/>
          </w:tcPr>
          <w:p w14:paraId="090FABA1" w14:textId="77777777" w:rsidR="00AC3416" w:rsidRPr="000B102A" w:rsidRDefault="00AC3416" w:rsidP="00D87E17">
            <w:pPr>
              <w:pStyle w:val="TableParagraph"/>
              <w:ind w:left="108"/>
              <w:rPr>
                <w:rFonts w:ascii="Century Gothic" w:hAnsi="Century Gothic"/>
                <w:sz w:val="24"/>
                <w:szCs w:val="24"/>
              </w:rPr>
            </w:pPr>
            <w:r w:rsidRPr="000B102A">
              <w:rPr>
                <w:rFonts w:ascii="Century Gothic" w:hAnsi="Century Gothic"/>
                <w:sz w:val="24"/>
                <w:szCs w:val="24"/>
              </w:rPr>
              <w:t>2016</w:t>
            </w:r>
          </w:p>
        </w:tc>
      </w:tr>
      <w:tr w:rsidR="00AC3416" w:rsidRPr="000B102A" w14:paraId="3CE93DCC" w14:textId="77777777" w:rsidTr="00D87E17">
        <w:trPr>
          <w:trHeight w:val="587"/>
        </w:trPr>
        <w:tc>
          <w:tcPr>
            <w:tcW w:w="5492" w:type="dxa"/>
          </w:tcPr>
          <w:p w14:paraId="33F4CDF2" w14:textId="77777777" w:rsidR="00AC3416" w:rsidRPr="000B102A" w:rsidRDefault="00AC3416" w:rsidP="00D87E17">
            <w:pPr>
              <w:pStyle w:val="TableParagraph"/>
              <w:spacing w:before="3" w:line="290" w:lineRule="atLeast"/>
              <w:rPr>
                <w:rFonts w:ascii="Century Gothic" w:hAnsi="Century Gothic"/>
                <w:sz w:val="24"/>
                <w:szCs w:val="24"/>
              </w:rPr>
            </w:pPr>
            <w:r w:rsidRPr="000B102A">
              <w:rPr>
                <w:rFonts w:ascii="Century Gothic" w:hAnsi="Century Gothic"/>
                <w:w w:val="110"/>
                <w:sz w:val="24"/>
                <w:szCs w:val="24"/>
              </w:rPr>
              <w:t>National Inpatient Surgery Sample (coming soon)</w:t>
            </w:r>
          </w:p>
        </w:tc>
        <w:tc>
          <w:tcPr>
            <w:tcW w:w="1169" w:type="dxa"/>
          </w:tcPr>
          <w:p w14:paraId="518D830C" w14:textId="77777777" w:rsidR="00AC3416" w:rsidRPr="000B102A" w:rsidRDefault="00AC3416" w:rsidP="00D87E17">
            <w:pPr>
              <w:pStyle w:val="TableParagraph"/>
              <w:spacing w:line="240" w:lineRule="auto"/>
              <w:ind w:left="108"/>
              <w:rPr>
                <w:rFonts w:ascii="Century Gothic" w:hAnsi="Century Gothic"/>
                <w:sz w:val="24"/>
                <w:szCs w:val="24"/>
              </w:rPr>
            </w:pPr>
            <w:r w:rsidRPr="000B102A">
              <w:rPr>
                <w:rFonts w:ascii="Century Gothic" w:hAnsi="Century Gothic"/>
                <w:sz w:val="24"/>
                <w:szCs w:val="24"/>
              </w:rPr>
              <w:t>2020</w:t>
            </w:r>
          </w:p>
        </w:tc>
      </w:tr>
      <w:tr w:rsidR="00AC3416" w:rsidRPr="000B102A" w14:paraId="2DF6C738" w14:textId="77777777" w:rsidTr="00D87E17">
        <w:trPr>
          <w:trHeight w:val="294"/>
        </w:trPr>
        <w:tc>
          <w:tcPr>
            <w:tcW w:w="5492" w:type="dxa"/>
          </w:tcPr>
          <w:p w14:paraId="5AF49E2A" w14:textId="77777777" w:rsidR="00AC3416" w:rsidRPr="000B102A" w:rsidRDefault="00AC3416" w:rsidP="00D87E17">
            <w:pPr>
              <w:pStyle w:val="TableParagraph"/>
              <w:rPr>
                <w:rFonts w:ascii="Century Gothic" w:hAnsi="Century Gothic"/>
                <w:sz w:val="24"/>
                <w:szCs w:val="24"/>
              </w:rPr>
            </w:pPr>
            <w:r w:rsidRPr="000B102A">
              <w:rPr>
                <w:rFonts w:ascii="Century Gothic" w:hAnsi="Century Gothic"/>
                <w:w w:val="110"/>
                <w:sz w:val="24"/>
                <w:szCs w:val="24"/>
              </w:rPr>
              <w:t>National Inpatient Surgery Sample</w:t>
            </w:r>
          </w:p>
        </w:tc>
        <w:tc>
          <w:tcPr>
            <w:tcW w:w="1169" w:type="dxa"/>
          </w:tcPr>
          <w:p w14:paraId="7564900A" w14:textId="77777777" w:rsidR="00AC3416" w:rsidRPr="000B102A" w:rsidRDefault="00AC3416" w:rsidP="00D87E17">
            <w:pPr>
              <w:pStyle w:val="TableParagraph"/>
              <w:ind w:left="108"/>
              <w:rPr>
                <w:rFonts w:ascii="Century Gothic" w:hAnsi="Century Gothic"/>
                <w:sz w:val="24"/>
                <w:szCs w:val="24"/>
              </w:rPr>
            </w:pPr>
            <w:r w:rsidRPr="000B102A">
              <w:rPr>
                <w:rFonts w:ascii="Century Gothic" w:hAnsi="Century Gothic"/>
                <w:sz w:val="24"/>
                <w:szCs w:val="24"/>
              </w:rPr>
              <w:t>2019</w:t>
            </w:r>
          </w:p>
        </w:tc>
      </w:tr>
    </w:tbl>
    <w:p w14:paraId="1D8DED6E" w14:textId="77777777" w:rsidR="00AC3416" w:rsidRPr="000B102A" w:rsidRDefault="00AC3416" w:rsidP="00AC3416">
      <w:pPr>
        <w:rPr>
          <w:rFonts w:ascii="Century Gothic" w:hAnsi="Century Gothic"/>
        </w:rPr>
      </w:pPr>
    </w:p>
    <w:p w14:paraId="5FE5E11E" w14:textId="58E1A842" w:rsidR="00AC3416" w:rsidRDefault="00AC3416" w:rsidP="00AC3416">
      <w:pPr>
        <w:rPr>
          <w:rFonts w:ascii="Century Gothic" w:hAnsi="Century Gothic"/>
        </w:rPr>
      </w:pPr>
      <w:r w:rsidRPr="000B102A">
        <w:rPr>
          <w:rFonts w:ascii="Century Gothic" w:hAnsi="Century Gothic"/>
        </w:rPr>
        <w:t>Q: What types of studies can be completed using this data?</w:t>
      </w:r>
    </w:p>
    <w:p w14:paraId="6158D408" w14:textId="77777777" w:rsidR="000B102A" w:rsidRPr="000B102A" w:rsidRDefault="000B102A" w:rsidP="00AC3416">
      <w:pPr>
        <w:rPr>
          <w:rFonts w:ascii="Century Gothic" w:hAnsi="Century Gothic"/>
        </w:rPr>
      </w:pPr>
    </w:p>
    <w:p w14:paraId="0D91EA83" w14:textId="62F8E8AD" w:rsidR="00AC3416" w:rsidRPr="000B102A" w:rsidRDefault="00AC3416" w:rsidP="00AC3416">
      <w:pPr>
        <w:rPr>
          <w:rFonts w:ascii="Century Gothic" w:hAnsi="Century Gothic"/>
        </w:rPr>
      </w:pPr>
      <w:r w:rsidRPr="000B102A">
        <w:rPr>
          <w:rFonts w:ascii="Century Gothic" w:hAnsi="Century Gothic"/>
        </w:rPr>
        <w:t>A: There are many studies in both obstetrics and gynecology that can be completed with these datasets. The datasets have detailed diagnoses and patient characteristics for patients across the country. Below are some common research questions people ask using these datasets.</w:t>
      </w:r>
    </w:p>
    <w:p w14:paraId="4A5D075A" w14:textId="36670287" w:rsidR="00AC3416" w:rsidRPr="000B102A" w:rsidRDefault="00AC3416" w:rsidP="00AC3416">
      <w:pPr>
        <w:pStyle w:val="ListParagraph"/>
        <w:numPr>
          <w:ilvl w:val="0"/>
          <w:numId w:val="1"/>
        </w:numPr>
        <w:rPr>
          <w:rFonts w:ascii="Century Gothic" w:hAnsi="Century Gothic"/>
        </w:rPr>
      </w:pPr>
      <w:r w:rsidRPr="000B102A">
        <w:rPr>
          <w:rFonts w:ascii="Century Gothic" w:hAnsi="Century Gothic"/>
        </w:rPr>
        <w:t>How common is condition x among patients with y characteristics?</w:t>
      </w:r>
    </w:p>
    <w:p w14:paraId="205A67B7" w14:textId="2FE9E55F" w:rsidR="00AC3416" w:rsidRPr="000B102A" w:rsidRDefault="00AC3416" w:rsidP="00AC3416">
      <w:pPr>
        <w:pStyle w:val="ListParagraph"/>
        <w:numPr>
          <w:ilvl w:val="0"/>
          <w:numId w:val="1"/>
        </w:numPr>
        <w:rPr>
          <w:rFonts w:ascii="Century Gothic" w:hAnsi="Century Gothic"/>
        </w:rPr>
      </w:pPr>
      <w:r w:rsidRPr="000B102A">
        <w:rPr>
          <w:rFonts w:ascii="Century Gothic" w:hAnsi="Century Gothic"/>
        </w:rPr>
        <w:t>What is the prevalence of surgery x among patients y over the last 10 years?</w:t>
      </w:r>
    </w:p>
    <w:p w14:paraId="1CDA8830" w14:textId="68C9D5AC" w:rsidR="00AC3416" w:rsidRPr="000B102A" w:rsidRDefault="00AC3416" w:rsidP="00AC3416">
      <w:pPr>
        <w:pStyle w:val="ListParagraph"/>
        <w:numPr>
          <w:ilvl w:val="0"/>
          <w:numId w:val="1"/>
        </w:numPr>
        <w:rPr>
          <w:rFonts w:ascii="Century Gothic" w:hAnsi="Century Gothic"/>
        </w:rPr>
      </w:pPr>
      <w:proofErr w:type="gramStart"/>
      <w:r w:rsidRPr="000B102A">
        <w:rPr>
          <w:rFonts w:ascii="Century Gothic" w:hAnsi="Century Gothic"/>
        </w:rPr>
        <w:t>Are</w:t>
      </w:r>
      <w:proofErr w:type="gramEnd"/>
      <w:r w:rsidRPr="000B102A">
        <w:rPr>
          <w:rFonts w:ascii="Century Gothic" w:hAnsi="Century Gothic"/>
        </w:rPr>
        <w:t xml:space="preserve"> x, y, z (patient demographic characteristics) a risk factor for having condition x?</w:t>
      </w:r>
    </w:p>
    <w:p w14:paraId="69554AE8" w14:textId="77777777" w:rsidR="00AC3416" w:rsidRPr="000B102A" w:rsidRDefault="00AC3416" w:rsidP="00AC3416">
      <w:pPr>
        <w:rPr>
          <w:rFonts w:ascii="Century Gothic" w:hAnsi="Century Gothic"/>
        </w:rPr>
      </w:pPr>
    </w:p>
    <w:p w14:paraId="75AA2EB0" w14:textId="45F76396" w:rsidR="00AC3416" w:rsidRDefault="00AC3416" w:rsidP="00AC3416">
      <w:pPr>
        <w:rPr>
          <w:rFonts w:ascii="Century Gothic" w:hAnsi="Century Gothic"/>
        </w:rPr>
      </w:pPr>
      <w:r w:rsidRPr="000B102A">
        <w:rPr>
          <w:rFonts w:ascii="Century Gothic" w:hAnsi="Century Gothic"/>
        </w:rPr>
        <w:t>Here are helpful publications with examples in our field:</w:t>
      </w:r>
    </w:p>
    <w:p w14:paraId="38984FA8" w14:textId="77777777" w:rsidR="000B102A" w:rsidRPr="000B102A" w:rsidRDefault="000B102A" w:rsidP="00AC3416">
      <w:pPr>
        <w:rPr>
          <w:rFonts w:ascii="Century Gothic" w:hAnsi="Century Gothic"/>
        </w:rPr>
      </w:pPr>
    </w:p>
    <w:p w14:paraId="2B717669" w14:textId="55733FE6" w:rsidR="00AC3416" w:rsidRPr="000B102A" w:rsidRDefault="00AC3416" w:rsidP="00AC3416">
      <w:pPr>
        <w:pStyle w:val="ListParagraph"/>
        <w:numPr>
          <w:ilvl w:val="0"/>
          <w:numId w:val="2"/>
        </w:numPr>
        <w:rPr>
          <w:rFonts w:ascii="Century Gothic" w:hAnsi="Century Gothic"/>
        </w:rPr>
      </w:pPr>
      <w:proofErr w:type="spellStart"/>
      <w:r w:rsidRPr="000B102A">
        <w:rPr>
          <w:rFonts w:ascii="Century Gothic" w:hAnsi="Century Gothic" w:cs="Segoe UI"/>
          <w:color w:val="212121"/>
          <w:shd w:val="clear" w:color="auto" w:fill="FFFFFF"/>
        </w:rPr>
        <w:t>Corbetta</w:t>
      </w:r>
      <w:proofErr w:type="spellEnd"/>
      <w:r w:rsidRPr="000B102A">
        <w:rPr>
          <w:rFonts w:ascii="Century Gothic" w:hAnsi="Century Gothic" w:cs="Segoe UI"/>
          <w:color w:val="212121"/>
          <w:shd w:val="clear" w:color="auto" w:fill="FFFFFF"/>
        </w:rPr>
        <w:t xml:space="preserve">-Rastelli CM, Friedman AM, Sobhani NC, Arditi B, Goffman D, Wen T. Postpartum Hemorrhage Trends and Outcomes in the United </w:t>
      </w:r>
      <w:r w:rsidRPr="000B102A">
        <w:rPr>
          <w:rFonts w:ascii="Century Gothic" w:hAnsi="Century Gothic" w:cs="Segoe UI"/>
          <w:color w:val="212121"/>
          <w:shd w:val="clear" w:color="auto" w:fill="FFFFFF"/>
        </w:rPr>
        <w:lastRenderedPageBreak/>
        <w:t xml:space="preserve">States, 2000-2019. </w:t>
      </w:r>
      <w:proofErr w:type="spellStart"/>
      <w:r w:rsidRPr="000B102A">
        <w:rPr>
          <w:rFonts w:ascii="Century Gothic" w:hAnsi="Century Gothic" w:cs="Segoe UI"/>
          <w:color w:val="212121"/>
          <w:shd w:val="clear" w:color="auto" w:fill="FFFFFF"/>
        </w:rPr>
        <w:t>Obstet</w:t>
      </w:r>
      <w:proofErr w:type="spellEnd"/>
      <w:r w:rsidRPr="000B102A">
        <w:rPr>
          <w:rFonts w:ascii="Century Gothic" w:hAnsi="Century Gothic" w:cs="Segoe UI"/>
          <w:color w:val="212121"/>
          <w:shd w:val="clear" w:color="auto" w:fill="FFFFFF"/>
        </w:rPr>
        <w:t xml:space="preserve"> Gynecol. 2023 Jan 1;141(1):152-161. </w:t>
      </w:r>
      <w:proofErr w:type="spellStart"/>
      <w:r w:rsidRPr="000B102A">
        <w:rPr>
          <w:rFonts w:ascii="Century Gothic" w:hAnsi="Century Gothic" w:cs="Segoe UI"/>
          <w:color w:val="212121"/>
          <w:shd w:val="clear" w:color="auto" w:fill="FFFFFF"/>
        </w:rPr>
        <w:t>doi</w:t>
      </w:r>
      <w:proofErr w:type="spellEnd"/>
      <w:r w:rsidRPr="000B102A">
        <w:rPr>
          <w:rFonts w:ascii="Century Gothic" w:hAnsi="Century Gothic" w:cs="Segoe UI"/>
          <w:color w:val="212121"/>
          <w:shd w:val="clear" w:color="auto" w:fill="FFFFFF"/>
        </w:rPr>
        <w:t xml:space="preserve">: 10.1097/AOG.0000000000004972. </w:t>
      </w:r>
      <w:proofErr w:type="spellStart"/>
      <w:r w:rsidRPr="000B102A">
        <w:rPr>
          <w:rFonts w:ascii="Century Gothic" w:hAnsi="Century Gothic" w:cs="Segoe UI"/>
          <w:color w:val="212121"/>
          <w:shd w:val="clear" w:color="auto" w:fill="FFFFFF"/>
        </w:rPr>
        <w:t>Epub</w:t>
      </w:r>
      <w:proofErr w:type="spellEnd"/>
      <w:r w:rsidRPr="000B102A">
        <w:rPr>
          <w:rFonts w:ascii="Century Gothic" w:hAnsi="Century Gothic" w:cs="Segoe UI"/>
          <w:color w:val="212121"/>
          <w:shd w:val="clear" w:color="auto" w:fill="FFFFFF"/>
        </w:rPr>
        <w:t xml:space="preserve"> 2022 Nov 30. PMID: 36701615.</w:t>
      </w:r>
    </w:p>
    <w:p w14:paraId="264BBC91" w14:textId="7ABE427D" w:rsidR="00AC3416" w:rsidRPr="000B102A" w:rsidRDefault="00AC3416" w:rsidP="00AC3416">
      <w:pPr>
        <w:ind w:left="720"/>
        <w:rPr>
          <w:rFonts w:ascii="Century Gothic" w:hAnsi="Century Gothic"/>
        </w:rPr>
      </w:pPr>
      <w:hyperlink r:id="rId9" w:history="1">
        <w:r w:rsidRPr="000B102A">
          <w:rPr>
            <w:rStyle w:val="Hyperlink"/>
            <w:rFonts w:ascii="Century Gothic" w:hAnsi="Century Gothic"/>
          </w:rPr>
          <w:t>https://pubmed.ncbi.nlm.nih.gov/36701615/</w:t>
        </w:r>
      </w:hyperlink>
      <w:r w:rsidRPr="000B102A">
        <w:rPr>
          <w:rFonts w:ascii="Century Gothic" w:hAnsi="Century Gothic"/>
        </w:rPr>
        <w:t xml:space="preserve"> </w:t>
      </w:r>
    </w:p>
    <w:p w14:paraId="71890E88" w14:textId="77777777" w:rsidR="00AC3416" w:rsidRPr="000B102A" w:rsidRDefault="00AC3416" w:rsidP="00AC3416">
      <w:pPr>
        <w:ind w:left="720"/>
        <w:rPr>
          <w:rFonts w:ascii="Century Gothic" w:hAnsi="Century Gothic"/>
        </w:rPr>
      </w:pPr>
    </w:p>
    <w:p w14:paraId="6662713D" w14:textId="19FA1E84" w:rsidR="00AC3416" w:rsidRPr="000B102A" w:rsidRDefault="00AC3416" w:rsidP="00AC3416">
      <w:pPr>
        <w:pStyle w:val="ListParagraph"/>
        <w:numPr>
          <w:ilvl w:val="0"/>
          <w:numId w:val="2"/>
        </w:numPr>
        <w:rPr>
          <w:rFonts w:ascii="Century Gothic" w:hAnsi="Century Gothic"/>
        </w:rPr>
      </w:pPr>
      <w:r w:rsidRPr="000B102A">
        <w:rPr>
          <w:rFonts w:ascii="Century Gothic" w:hAnsi="Century Gothic" w:cs="Segoe UI"/>
          <w:color w:val="212121"/>
          <w:shd w:val="clear" w:color="auto" w:fill="FFFFFF"/>
        </w:rPr>
        <w:t xml:space="preserve">Clapp MA, James KE, Kaimal AJ, Sommers BD, Daw JR. Association of Medicaid Expansion With Coverage and Access to Care for Pregnant Women. </w:t>
      </w:r>
      <w:proofErr w:type="spellStart"/>
      <w:r w:rsidRPr="000B102A">
        <w:rPr>
          <w:rFonts w:ascii="Century Gothic" w:hAnsi="Century Gothic" w:cs="Segoe UI"/>
          <w:color w:val="212121"/>
          <w:shd w:val="clear" w:color="auto" w:fill="FFFFFF"/>
        </w:rPr>
        <w:t>Obstet</w:t>
      </w:r>
      <w:proofErr w:type="spellEnd"/>
      <w:r w:rsidRPr="000B102A">
        <w:rPr>
          <w:rFonts w:ascii="Century Gothic" w:hAnsi="Century Gothic" w:cs="Segoe UI"/>
          <w:color w:val="212121"/>
          <w:shd w:val="clear" w:color="auto" w:fill="FFFFFF"/>
        </w:rPr>
        <w:t xml:space="preserve"> Gynecol. 2019 Nov;134(5):1066-1074. </w:t>
      </w:r>
      <w:proofErr w:type="spellStart"/>
      <w:r w:rsidRPr="000B102A">
        <w:rPr>
          <w:rFonts w:ascii="Century Gothic" w:hAnsi="Century Gothic" w:cs="Segoe UI"/>
          <w:color w:val="212121"/>
          <w:shd w:val="clear" w:color="auto" w:fill="FFFFFF"/>
        </w:rPr>
        <w:t>doi</w:t>
      </w:r>
      <w:proofErr w:type="spellEnd"/>
      <w:r w:rsidRPr="000B102A">
        <w:rPr>
          <w:rFonts w:ascii="Century Gothic" w:hAnsi="Century Gothic" w:cs="Segoe UI"/>
          <w:color w:val="212121"/>
          <w:shd w:val="clear" w:color="auto" w:fill="FFFFFF"/>
        </w:rPr>
        <w:t xml:space="preserve">: 10.1097/AOG.0000000000003501. PMID: 31599841. </w:t>
      </w:r>
    </w:p>
    <w:p w14:paraId="0D421234" w14:textId="21C18EA4" w:rsidR="00AC3416" w:rsidRPr="000B102A" w:rsidRDefault="00AC3416" w:rsidP="00AC3416">
      <w:pPr>
        <w:pStyle w:val="ListParagraph"/>
        <w:rPr>
          <w:rFonts w:ascii="Century Gothic" w:hAnsi="Century Gothic" w:cs="Segoe UI"/>
          <w:color w:val="212121"/>
          <w:shd w:val="clear" w:color="auto" w:fill="FFFFFF"/>
        </w:rPr>
      </w:pPr>
      <w:hyperlink r:id="rId10" w:history="1">
        <w:r w:rsidRPr="000B102A">
          <w:rPr>
            <w:rStyle w:val="Hyperlink"/>
            <w:rFonts w:ascii="Century Gothic" w:hAnsi="Century Gothic" w:cs="Segoe UI"/>
            <w:shd w:val="clear" w:color="auto" w:fill="FFFFFF"/>
          </w:rPr>
          <w:t>https://pubmed.ncbi.nlm.nih.gov/31599841/</w:t>
        </w:r>
      </w:hyperlink>
    </w:p>
    <w:p w14:paraId="2C695DCA" w14:textId="77777777" w:rsidR="00AC3416" w:rsidRPr="000B102A" w:rsidRDefault="00AC3416" w:rsidP="00AC3416">
      <w:pPr>
        <w:rPr>
          <w:rFonts w:ascii="Century Gothic" w:hAnsi="Century Gothic"/>
        </w:rPr>
      </w:pPr>
    </w:p>
    <w:p w14:paraId="28C8ED5B" w14:textId="6AA7E4C4" w:rsidR="00AC3416" w:rsidRPr="000B102A" w:rsidRDefault="00AC3416" w:rsidP="00AC3416">
      <w:pPr>
        <w:pStyle w:val="ListParagraph"/>
        <w:numPr>
          <w:ilvl w:val="0"/>
          <w:numId w:val="2"/>
        </w:numPr>
        <w:rPr>
          <w:rFonts w:ascii="Century Gothic" w:hAnsi="Century Gothic"/>
        </w:rPr>
      </w:pPr>
      <w:r w:rsidRPr="000B102A">
        <w:rPr>
          <w:rFonts w:ascii="Century Gothic" w:hAnsi="Century Gothic" w:cs="Segoe UI"/>
          <w:color w:val="212121"/>
          <w:shd w:val="clear" w:color="auto" w:fill="FFFFFF"/>
        </w:rPr>
        <w:t xml:space="preserve">Jacoby VL, Vittinghoff E, Nakagawa S, Jackson R, Richter HE, Chan J, Kuppermann M. Factors associated with undergoing bilateral </w:t>
      </w:r>
      <w:proofErr w:type="spellStart"/>
      <w:r w:rsidRPr="000B102A">
        <w:rPr>
          <w:rFonts w:ascii="Century Gothic" w:hAnsi="Century Gothic" w:cs="Segoe UI"/>
          <w:color w:val="212121"/>
          <w:shd w:val="clear" w:color="auto" w:fill="FFFFFF"/>
        </w:rPr>
        <w:t>salpingo</w:t>
      </w:r>
      <w:proofErr w:type="spellEnd"/>
      <w:r w:rsidRPr="000B102A">
        <w:rPr>
          <w:rFonts w:ascii="Century Gothic" w:hAnsi="Century Gothic" w:cs="Segoe UI"/>
          <w:color w:val="212121"/>
          <w:shd w:val="clear" w:color="auto" w:fill="FFFFFF"/>
        </w:rPr>
        <w:t xml:space="preserve">-oophorectomy at the time of hysterectomy for benign conditions. </w:t>
      </w:r>
      <w:proofErr w:type="spellStart"/>
      <w:r w:rsidRPr="000B102A">
        <w:rPr>
          <w:rFonts w:ascii="Century Gothic" w:hAnsi="Century Gothic" w:cs="Segoe UI"/>
          <w:color w:val="212121"/>
          <w:shd w:val="clear" w:color="auto" w:fill="FFFFFF"/>
        </w:rPr>
        <w:t>Obstet</w:t>
      </w:r>
      <w:proofErr w:type="spellEnd"/>
      <w:r w:rsidRPr="000B102A">
        <w:rPr>
          <w:rFonts w:ascii="Century Gothic" w:hAnsi="Century Gothic" w:cs="Segoe UI"/>
          <w:color w:val="212121"/>
          <w:shd w:val="clear" w:color="auto" w:fill="FFFFFF"/>
        </w:rPr>
        <w:t xml:space="preserve"> Gynecol. 2009 Jun;113(6):1259-1267. </w:t>
      </w:r>
      <w:proofErr w:type="spellStart"/>
      <w:r w:rsidRPr="000B102A">
        <w:rPr>
          <w:rFonts w:ascii="Century Gothic" w:hAnsi="Century Gothic" w:cs="Segoe UI"/>
          <w:color w:val="212121"/>
          <w:shd w:val="clear" w:color="auto" w:fill="FFFFFF"/>
        </w:rPr>
        <w:t>doi</w:t>
      </w:r>
      <w:proofErr w:type="spellEnd"/>
      <w:r w:rsidRPr="000B102A">
        <w:rPr>
          <w:rFonts w:ascii="Century Gothic" w:hAnsi="Century Gothic" w:cs="Segoe UI"/>
          <w:color w:val="212121"/>
          <w:shd w:val="clear" w:color="auto" w:fill="FFFFFF"/>
        </w:rPr>
        <w:t xml:space="preserve">: 10.1097/AOG.0b013e3181a66c42. Erratum in: </w:t>
      </w:r>
      <w:proofErr w:type="spellStart"/>
      <w:r w:rsidRPr="000B102A">
        <w:rPr>
          <w:rFonts w:ascii="Century Gothic" w:hAnsi="Century Gothic" w:cs="Segoe UI"/>
          <w:color w:val="212121"/>
          <w:shd w:val="clear" w:color="auto" w:fill="FFFFFF"/>
        </w:rPr>
        <w:t>Obstet</w:t>
      </w:r>
      <w:proofErr w:type="spellEnd"/>
      <w:r w:rsidRPr="000B102A">
        <w:rPr>
          <w:rFonts w:ascii="Century Gothic" w:hAnsi="Century Gothic" w:cs="Segoe UI"/>
          <w:color w:val="212121"/>
          <w:shd w:val="clear" w:color="auto" w:fill="FFFFFF"/>
        </w:rPr>
        <w:t xml:space="preserve"> Gynecol. 2009 Sep;114(3):696-7. PMID: 19461420; PMCID: PMC4670026.</w:t>
      </w:r>
    </w:p>
    <w:p w14:paraId="77A9CD30" w14:textId="3EEEC842" w:rsidR="00AC3416" w:rsidRPr="000B102A" w:rsidRDefault="00AC3416" w:rsidP="00AC3416">
      <w:pPr>
        <w:pStyle w:val="ListParagraph"/>
        <w:rPr>
          <w:rFonts w:ascii="Century Gothic" w:hAnsi="Century Gothic"/>
        </w:rPr>
      </w:pPr>
      <w:hyperlink r:id="rId11" w:history="1">
        <w:r w:rsidRPr="000B102A">
          <w:rPr>
            <w:rStyle w:val="Hyperlink"/>
            <w:rFonts w:ascii="Century Gothic" w:hAnsi="Century Gothic"/>
          </w:rPr>
          <w:t>https://pubmed.ncbi.nlm.nih.gov/19461420/</w:t>
        </w:r>
      </w:hyperlink>
      <w:r w:rsidRPr="000B102A">
        <w:rPr>
          <w:rFonts w:ascii="Century Gothic" w:hAnsi="Century Gothic"/>
        </w:rPr>
        <w:t xml:space="preserve"> </w:t>
      </w:r>
    </w:p>
    <w:p w14:paraId="1834152B" w14:textId="77777777" w:rsidR="00AC3416" w:rsidRPr="000B102A" w:rsidRDefault="00AC3416" w:rsidP="00AC3416">
      <w:pPr>
        <w:pStyle w:val="ListParagraph"/>
        <w:rPr>
          <w:rFonts w:ascii="Century Gothic" w:hAnsi="Century Gothic"/>
        </w:rPr>
      </w:pPr>
    </w:p>
    <w:p w14:paraId="167686A4" w14:textId="77777777" w:rsidR="00AC3416" w:rsidRPr="000B102A" w:rsidRDefault="00AC3416" w:rsidP="00AC3416">
      <w:pPr>
        <w:pStyle w:val="ListParagraph"/>
        <w:widowControl w:val="0"/>
        <w:numPr>
          <w:ilvl w:val="0"/>
          <w:numId w:val="3"/>
        </w:numPr>
        <w:tabs>
          <w:tab w:val="left" w:pos="820"/>
          <w:tab w:val="left" w:pos="821"/>
        </w:tabs>
        <w:autoSpaceDE w:val="0"/>
        <w:autoSpaceDN w:val="0"/>
        <w:spacing w:line="256" w:lineRule="auto"/>
        <w:ind w:right="999"/>
        <w:contextualSpacing w:val="0"/>
        <w:rPr>
          <w:rFonts w:ascii="Century Gothic" w:hAnsi="Century Gothic"/>
        </w:rPr>
      </w:pPr>
      <w:hyperlink r:id="rId12">
        <w:r w:rsidRPr="000B102A">
          <w:rPr>
            <w:rFonts w:ascii="Century Gothic" w:hAnsi="Century Gothic"/>
            <w:color w:val="0462C1"/>
            <w:w w:val="105"/>
          </w:rPr>
          <w:t>Effect of the ALPS trial on steroid and assisted ventilation use in late</w:t>
        </w:r>
      </w:hyperlink>
      <w:hyperlink r:id="rId13">
        <w:r w:rsidRPr="000B102A">
          <w:rPr>
            <w:rFonts w:ascii="Century Gothic" w:hAnsi="Century Gothic"/>
            <w:color w:val="0462C1"/>
            <w:w w:val="105"/>
          </w:rPr>
          <w:t xml:space="preserve"> preterm</w:t>
        </w:r>
        <w:r w:rsidRPr="000B102A">
          <w:rPr>
            <w:rFonts w:ascii="Century Gothic" w:hAnsi="Century Gothic"/>
            <w:color w:val="0462C1"/>
            <w:spacing w:val="-4"/>
            <w:w w:val="105"/>
          </w:rPr>
          <w:t xml:space="preserve"> </w:t>
        </w:r>
        <w:r w:rsidRPr="000B102A">
          <w:rPr>
            <w:rFonts w:ascii="Century Gothic" w:hAnsi="Century Gothic"/>
            <w:color w:val="0462C1"/>
            <w:w w:val="105"/>
          </w:rPr>
          <w:t>infants</w:t>
        </w:r>
      </w:hyperlink>
    </w:p>
    <w:p w14:paraId="5C17F727" w14:textId="77777777" w:rsidR="00AC3416" w:rsidRPr="000B102A" w:rsidRDefault="00AC3416" w:rsidP="00AC3416">
      <w:pPr>
        <w:pStyle w:val="BodyText"/>
        <w:ind w:left="1180"/>
        <w:rPr>
          <w:rFonts w:ascii="Century Gothic" w:hAnsi="Century Gothic"/>
          <w:color w:val="0462C1"/>
          <w:w w:val="105"/>
          <w:u w:val="single" w:color="0462C1"/>
        </w:rPr>
      </w:pPr>
      <w:r w:rsidRPr="000B102A">
        <w:rPr>
          <w:rFonts w:ascii="Century Gothic" w:hAnsi="Century Gothic"/>
          <w:w w:val="105"/>
        </w:rPr>
        <w:t>o</w:t>
      </w:r>
      <w:hyperlink r:id="rId14">
        <w:r w:rsidRPr="000B102A">
          <w:rPr>
            <w:rFonts w:ascii="Century Gothic" w:hAnsi="Century Gothic"/>
            <w:color w:val="0462C1"/>
            <w:spacing w:val="96"/>
            <w:w w:val="105"/>
          </w:rPr>
          <w:t xml:space="preserve"> </w:t>
        </w:r>
        <w:r w:rsidRPr="000B102A">
          <w:rPr>
            <w:rFonts w:ascii="Century Gothic" w:hAnsi="Century Gothic"/>
            <w:color w:val="0462C1"/>
            <w:w w:val="105"/>
            <w:u w:val="single"/>
          </w:rPr>
          <w:t>https://www.ajog.org/article/S0002-9378(21)01284-9/fulltext</w:t>
        </w:r>
      </w:hyperlink>
    </w:p>
    <w:p w14:paraId="3AD1C1BD" w14:textId="77777777" w:rsidR="00AC3416" w:rsidRPr="000B102A" w:rsidRDefault="00AC3416" w:rsidP="00AC3416">
      <w:pPr>
        <w:pStyle w:val="BodyText"/>
        <w:ind w:left="1180"/>
        <w:rPr>
          <w:rFonts w:ascii="Century Gothic" w:hAnsi="Century Gothic"/>
        </w:rPr>
      </w:pPr>
    </w:p>
    <w:p w14:paraId="701EEA92" w14:textId="77777777" w:rsidR="00AC3416" w:rsidRPr="000B102A" w:rsidRDefault="00AC3416" w:rsidP="00AC3416">
      <w:pPr>
        <w:pStyle w:val="ListParagraph"/>
        <w:numPr>
          <w:ilvl w:val="0"/>
          <w:numId w:val="2"/>
        </w:numPr>
        <w:rPr>
          <w:rFonts w:ascii="Century Gothic" w:hAnsi="Century Gothic"/>
        </w:rPr>
      </w:pPr>
      <w:r w:rsidRPr="000B102A">
        <w:rPr>
          <w:rFonts w:ascii="Century Gothic" w:hAnsi="Century Gothic"/>
        </w:rPr>
        <w:t>Ranjit, Anju MD, MPH; Zogg, Cheryl K. MSPH, MHS; Torain, Maya J.; Lau, Brandyn D. MPH; Donohue, Pamela; Bienstock, Jessica L. MD, MPH; Weismann, Joel S. PhD; Haider, Adil H. MD, MPH, FACS. Disparities in receipt of epidural analgesia receipt during labor: an analysis of national data. Journal of the American College of Surgeons 221(4</w:t>
      </w:r>
      <w:proofErr w:type="gramStart"/>
      <w:r w:rsidRPr="000B102A">
        <w:rPr>
          <w:rFonts w:ascii="Century Gothic" w:hAnsi="Century Gothic"/>
        </w:rPr>
        <w:t>):p</w:t>
      </w:r>
      <w:proofErr w:type="gramEnd"/>
      <w:r w:rsidRPr="000B102A">
        <w:rPr>
          <w:rFonts w:ascii="Century Gothic" w:hAnsi="Century Gothic"/>
        </w:rPr>
        <w:t xml:space="preserve"> e27, October 2015. | DOI: 10.1016/j.jamcollsurg.2015.08.369</w:t>
      </w:r>
    </w:p>
    <w:p w14:paraId="698F0BBE" w14:textId="7DEFE97E" w:rsidR="00AC3416" w:rsidRPr="000B102A" w:rsidRDefault="00AC3416" w:rsidP="00AC3416">
      <w:pPr>
        <w:pStyle w:val="ListParagraph"/>
        <w:rPr>
          <w:rFonts w:ascii="Century Gothic" w:hAnsi="Century Gothic"/>
        </w:rPr>
      </w:pPr>
      <w:hyperlink r:id="rId15" w:history="1">
        <w:r w:rsidRPr="000B102A">
          <w:rPr>
            <w:rStyle w:val="Hyperlink"/>
            <w:rFonts w:ascii="Century Gothic" w:hAnsi="Century Gothic"/>
          </w:rPr>
          <w:t>https://journals.lww.com/journalacs/Fulltext/2015/10002/Disparities_in_receipt_of_epidural_analgesia.60.aspx</w:t>
        </w:r>
      </w:hyperlink>
      <w:r w:rsidRPr="000B102A">
        <w:rPr>
          <w:rFonts w:ascii="Century Gothic" w:hAnsi="Century Gothic"/>
        </w:rPr>
        <w:t xml:space="preserve"> </w:t>
      </w:r>
    </w:p>
    <w:p w14:paraId="7939D7C1" w14:textId="77777777" w:rsidR="00AC3416" w:rsidRPr="000B102A" w:rsidRDefault="00AC3416" w:rsidP="00AC3416">
      <w:pPr>
        <w:pStyle w:val="ListParagraph"/>
        <w:rPr>
          <w:rFonts w:ascii="Century Gothic" w:hAnsi="Century Gothic"/>
        </w:rPr>
      </w:pPr>
    </w:p>
    <w:p w14:paraId="7D04E5A8" w14:textId="77777777" w:rsidR="00AC3416" w:rsidRPr="000B102A" w:rsidRDefault="00AC3416" w:rsidP="00AC3416">
      <w:pPr>
        <w:pStyle w:val="ListParagraph"/>
        <w:rPr>
          <w:rFonts w:ascii="Century Gothic" w:hAnsi="Century Gothic"/>
        </w:rPr>
      </w:pPr>
    </w:p>
    <w:p w14:paraId="7B2E2717" w14:textId="38F1B9DE" w:rsidR="00AC3416" w:rsidRPr="000B102A" w:rsidRDefault="00AC3416" w:rsidP="00AC3416">
      <w:pPr>
        <w:rPr>
          <w:rFonts w:ascii="Century Gothic" w:hAnsi="Century Gothic"/>
        </w:rPr>
      </w:pPr>
      <w:r w:rsidRPr="000B102A">
        <w:rPr>
          <w:rFonts w:ascii="Century Gothic" w:hAnsi="Century Gothic"/>
        </w:rPr>
        <w:t>Q: What help is available in the Department to use these datasets?</w:t>
      </w:r>
    </w:p>
    <w:p w14:paraId="0771400A" w14:textId="77777777" w:rsidR="00AC3416" w:rsidRPr="000B102A" w:rsidRDefault="00AC3416" w:rsidP="00AC3416">
      <w:pPr>
        <w:rPr>
          <w:rFonts w:ascii="Century Gothic" w:hAnsi="Century Gothic"/>
        </w:rPr>
      </w:pPr>
    </w:p>
    <w:p w14:paraId="40E81478" w14:textId="7887489A" w:rsidR="00AC3416" w:rsidRPr="000B102A" w:rsidRDefault="00AC3416" w:rsidP="00AC3416">
      <w:pPr>
        <w:rPr>
          <w:rFonts w:ascii="Century Gothic" w:hAnsi="Century Gothic"/>
        </w:rPr>
      </w:pPr>
      <w:r w:rsidRPr="000B102A">
        <w:rPr>
          <w:rFonts w:ascii="Century Gothic" w:hAnsi="Century Gothic"/>
        </w:rPr>
        <w:t>A: If you’re interested in using these datasets for studies, please submit a brief request for data use form</w:t>
      </w:r>
      <w:r w:rsidR="001B20BB" w:rsidRPr="000B102A">
        <w:rPr>
          <w:rFonts w:ascii="Century Gothic" w:hAnsi="Century Gothic"/>
        </w:rPr>
        <w:t xml:space="preserve"> and send to </w:t>
      </w:r>
      <w:hyperlink r:id="rId16" w:history="1">
        <w:r w:rsidR="00204F93" w:rsidRPr="00684787">
          <w:rPr>
            <w:rStyle w:val="Hyperlink"/>
          </w:rPr>
          <w:t>Carolyn.Huynh@ucsf.edu</w:t>
        </w:r>
      </w:hyperlink>
      <w:r w:rsidR="00204F93">
        <w:t xml:space="preserve">. </w:t>
      </w:r>
      <w:r w:rsidR="001B20BB" w:rsidRPr="000B102A">
        <w:rPr>
          <w:rFonts w:ascii="Century Gothic" w:hAnsi="Century Gothic"/>
        </w:rPr>
        <w:t xml:space="preserve">This will be reviewed within 2 weeks. Once the request is approved, you will have a meeting with the Department Biostatistician, John Boscardin, PhD to plan the project including a timeline. </w:t>
      </w:r>
      <w:r w:rsidR="001B20BB" w:rsidRPr="000B102A">
        <w:rPr>
          <w:rFonts w:ascii="Century Gothic" w:hAnsi="Century Gothic" w:cs="Calibri"/>
          <w:color w:val="212121"/>
        </w:rPr>
        <w:t>The Department will provide a data programmer to conduct the analysis in collaboration with the study team and John Boscardin. If you would prefer to do the programming on your own, the Department can provide you with the datasets to complete the analysis.</w:t>
      </w:r>
    </w:p>
    <w:sectPr w:rsidR="00AC3416" w:rsidRPr="000B102A" w:rsidSect="00DC096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5902" w14:textId="77777777" w:rsidR="00E75D18" w:rsidRDefault="00E75D18" w:rsidP="00983F98">
      <w:r>
        <w:separator/>
      </w:r>
    </w:p>
  </w:endnote>
  <w:endnote w:type="continuationSeparator" w:id="0">
    <w:p w14:paraId="2A278823" w14:textId="77777777" w:rsidR="00E75D18" w:rsidRDefault="00E75D18" w:rsidP="0098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4732" w14:textId="076AFB38" w:rsidR="00983F98" w:rsidRDefault="00983F98">
    <w:pPr>
      <w:pStyle w:val="Footer"/>
    </w:pPr>
    <w:r>
      <w:t>July 2023</w:t>
    </w:r>
  </w:p>
  <w:p w14:paraId="4957D76D" w14:textId="77777777" w:rsidR="00983F98" w:rsidRDefault="0098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3BC1" w14:textId="77777777" w:rsidR="00E75D18" w:rsidRDefault="00E75D18" w:rsidP="00983F98">
      <w:r>
        <w:separator/>
      </w:r>
    </w:p>
  </w:footnote>
  <w:footnote w:type="continuationSeparator" w:id="0">
    <w:p w14:paraId="36394D8E" w14:textId="77777777" w:rsidR="00E75D18" w:rsidRDefault="00E75D18" w:rsidP="0098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B8A"/>
    <w:multiLevelType w:val="hybridMultilevel"/>
    <w:tmpl w:val="C174129C"/>
    <w:lvl w:ilvl="0" w:tplc="4E5C6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413C7"/>
    <w:multiLevelType w:val="hybridMultilevel"/>
    <w:tmpl w:val="F7D66964"/>
    <w:lvl w:ilvl="0" w:tplc="7D9676CC">
      <w:numFmt w:val="bullet"/>
      <w:lvlText w:val="•"/>
      <w:lvlJc w:val="left"/>
      <w:pPr>
        <w:ind w:left="820" w:hanging="360"/>
      </w:pPr>
      <w:rPr>
        <w:rFonts w:ascii="Arial" w:eastAsia="Arial" w:hAnsi="Arial" w:cs="Arial" w:hint="default"/>
        <w:w w:val="131"/>
        <w:sz w:val="24"/>
        <w:szCs w:val="24"/>
        <w:lang w:val="en-US" w:eastAsia="en-US" w:bidi="en-US"/>
      </w:rPr>
    </w:lvl>
    <w:lvl w:ilvl="1" w:tplc="E020ECA4">
      <w:numFmt w:val="bullet"/>
      <w:lvlText w:val="•"/>
      <w:lvlJc w:val="left"/>
      <w:pPr>
        <w:ind w:left="1540" w:hanging="360"/>
      </w:pPr>
      <w:rPr>
        <w:rFonts w:hint="default"/>
        <w:lang w:val="en-US" w:eastAsia="en-US" w:bidi="en-US"/>
      </w:rPr>
    </w:lvl>
    <w:lvl w:ilvl="2" w:tplc="F3BAD69C">
      <w:numFmt w:val="bullet"/>
      <w:lvlText w:val="•"/>
      <w:lvlJc w:val="left"/>
      <w:pPr>
        <w:ind w:left="2431" w:hanging="360"/>
      </w:pPr>
      <w:rPr>
        <w:rFonts w:hint="default"/>
        <w:lang w:val="en-US" w:eastAsia="en-US" w:bidi="en-US"/>
      </w:rPr>
    </w:lvl>
    <w:lvl w:ilvl="3" w:tplc="A17CBF40">
      <w:numFmt w:val="bullet"/>
      <w:lvlText w:val="•"/>
      <w:lvlJc w:val="left"/>
      <w:pPr>
        <w:ind w:left="3322" w:hanging="360"/>
      </w:pPr>
      <w:rPr>
        <w:rFonts w:hint="default"/>
        <w:lang w:val="en-US" w:eastAsia="en-US" w:bidi="en-US"/>
      </w:rPr>
    </w:lvl>
    <w:lvl w:ilvl="4" w:tplc="744E6D0E">
      <w:numFmt w:val="bullet"/>
      <w:lvlText w:val="•"/>
      <w:lvlJc w:val="left"/>
      <w:pPr>
        <w:ind w:left="4213" w:hanging="360"/>
      </w:pPr>
      <w:rPr>
        <w:rFonts w:hint="default"/>
        <w:lang w:val="en-US" w:eastAsia="en-US" w:bidi="en-US"/>
      </w:rPr>
    </w:lvl>
    <w:lvl w:ilvl="5" w:tplc="4CD87284">
      <w:numFmt w:val="bullet"/>
      <w:lvlText w:val="•"/>
      <w:lvlJc w:val="left"/>
      <w:pPr>
        <w:ind w:left="5104" w:hanging="360"/>
      </w:pPr>
      <w:rPr>
        <w:rFonts w:hint="default"/>
        <w:lang w:val="en-US" w:eastAsia="en-US" w:bidi="en-US"/>
      </w:rPr>
    </w:lvl>
    <w:lvl w:ilvl="6" w:tplc="A3F0E20A">
      <w:numFmt w:val="bullet"/>
      <w:lvlText w:val="•"/>
      <w:lvlJc w:val="left"/>
      <w:pPr>
        <w:ind w:left="5995" w:hanging="360"/>
      </w:pPr>
      <w:rPr>
        <w:rFonts w:hint="default"/>
        <w:lang w:val="en-US" w:eastAsia="en-US" w:bidi="en-US"/>
      </w:rPr>
    </w:lvl>
    <w:lvl w:ilvl="7" w:tplc="2856B472">
      <w:numFmt w:val="bullet"/>
      <w:lvlText w:val="•"/>
      <w:lvlJc w:val="left"/>
      <w:pPr>
        <w:ind w:left="6886" w:hanging="360"/>
      </w:pPr>
      <w:rPr>
        <w:rFonts w:hint="default"/>
        <w:lang w:val="en-US" w:eastAsia="en-US" w:bidi="en-US"/>
      </w:rPr>
    </w:lvl>
    <w:lvl w:ilvl="8" w:tplc="260E6148">
      <w:numFmt w:val="bullet"/>
      <w:lvlText w:val="•"/>
      <w:lvlJc w:val="left"/>
      <w:pPr>
        <w:ind w:left="7777" w:hanging="360"/>
      </w:pPr>
      <w:rPr>
        <w:rFonts w:hint="default"/>
        <w:lang w:val="en-US" w:eastAsia="en-US" w:bidi="en-US"/>
      </w:rPr>
    </w:lvl>
  </w:abstractNum>
  <w:abstractNum w:abstractNumId="2" w15:restartNumberingAfterBreak="0">
    <w:nsid w:val="6862573A"/>
    <w:multiLevelType w:val="hybridMultilevel"/>
    <w:tmpl w:val="D6A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796552">
    <w:abstractNumId w:val="0"/>
  </w:num>
  <w:num w:numId="2" w16cid:durableId="483199869">
    <w:abstractNumId w:val="2"/>
  </w:num>
  <w:num w:numId="3" w16cid:durableId="15769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16"/>
    <w:rsid w:val="000B102A"/>
    <w:rsid w:val="001B1795"/>
    <w:rsid w:val="001B20BB"/>
    <w:rsid w:val="00204F93"/>
    <w:rsid w:val="005211FC"/>
    <w:rsid w:val="00762123"/>
    <w:rsid w:val="00983F98"/>
    <w:rsid w:val="00AC3416"/>
    <w:rsid w:val="00DC096C"/>
    <w:rsid w:val="00E75D18"/>
    <w:rsid w:val="00F9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A11A7"/>
  <w15:chartTrackingRefBased/>
  <w15:docId w15:val="{3A1032EA-F0AA-5148-8240-AA4BC57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3416"/>
    <w:pPr>
      <w:widowControl w:val="0"/>
      <w:autoSpaceDE w:val="0"/>
      <w:autoSpaceDN w:val="0"/>
    </w:pPr>
    <w:rPr>
      <w:rFonts w:ascii="Arial" w:eastAsia="Arial" w:hAnsi="Arial" w:cs="Arial"/>
      <w:kern w:val="0"/>
      <w:lang w:bidi="en-US"/>
      <w14:ligatures w14:val="none"/>
    </w:rPr>
  </w:style>
  <w:style w:type="character" w:customStyle="1" w:styleId="BodyTextChar">
    <w:name w:val="Body Text Char"/>
    <w:basedOn w:val="DefaultParagraphFont"/>
    <w:link w:val="BodyText"/>
    <w:uiPriority w:val="1"/>
    <w:rsid w:val="00AC3416"/>
    <w:rPr>
      <w:rFonts w:ascii="Arial" w:eastAsia="Arial" w:hAnsi="Arial" w:cs="Arial"/>
      <w:kern w:val="0"/>
      <w:lang w:bidi="en-US"/>
      <w14:ligatures w14:val="none"/>
    </w:rPr>
  </w:style>
  <w:style w:type="paragraph" w:customStyle="1" w:styleId="TableParagraph">
    <w:name w:val="Table Paragraph"/>
    <w:basedOn w:val="Normal"/>
    <w:uiPriority w:val="1"/>
    <w:qFormat/>
    <w:rsid w:val="00AC3416"/>
    <w:pPr>
      <w:widowControl w:val="0"/>
      <w:autoSpaceDE w:val="0"/>
      <w:autoSpaceDN w:val="0"/>
      <w:spacing w:before="17" w:line="258" w:lineRule="exact"/>
      <w:ind w:left="107"/>
    </w:pPr>
    <w:rPr>
      <w:rFonts w:ascii="Arial" w:eastAsia="Arial" w:hAnsi="Arial" w:cs="Arial"/>
      <w:kern w:val="0"/>
      <w:sz w:val="22"/>
      <w:szCs w:val="22"/>
      <w:lang w:bidi="en-US"/>
      <w14:ligatures w14:val="none"/>
    </w:rPr>
  </w:style>
  <w:style w:type="paragraph" w:styleId="ListParagraph">
    <w:name w:val="List Paragraph"/>
    <w:basedOn w:val="Normal"/>
    <w:uiPriority w:val="1"/>
    <w:qFormat/>
    <w:rsid w:val="00AC3416"/>
    <w:pPr>
      <w:ind w:left="720"/>
      <w:contextualSpacing/>
    </w:pPr>
  </w:style>
  <w:style w:type="character" w:styleId="Hyperlink">
    <w:name w:val="Hyperlink"/>
    <w:basedOn w:val="DefaultParagraphFont"/>
    <w:uiPriority w:val="99"/>
    <w:unhideWhenUsed/>
    <w:rsid w:val="00AC3416"/>
    <w:rPr>
      <w:color w:val="0563C1" w:themeColor="hyperlink"/>
      <w:u w:val="single"/>
    </w:rPr>
  </w:style>
  <w:style w:type="character" w:styleId="UnresolvedMention">
    <w:name w:val="Unresolved Mention"/>
    <w:basedOn w:val="DefaultParagraphFont"/>
    <w:uiPriority w:val="99"/>
    <w:semiHidden/>
    <w:unhideWhenUsed/>
    <w:rsid w:val="00AC3416"/>
    <w:rPr>
      <w:color w:val="605E5C"/>
      <w:shd w:val="clear" w:color="auto" w:fill="E1DFDD"/>
    </w:rPr>
  </w:style>
  <w:style w:type="character" w:styleId="FollowedHyperlink">
    <w:name w:val="FollowedHyperlink"/>
    <w:basedOn w:val="DefaultParagraphFont"/>
    <w:uiPriority w:val="99"/>
    <w:semiHidden/>
    <w:unhideWhenUsed/>
    <w:rsid w:val="00AC3416"/>
    <w:rPr>
      <w:color w:val="954F72" w:themeColor="followedHyperlink"/>
      <w:u w:val="single"/>
    </w:rPr>
  </w:style>
  <w:style w:type="paragraph" w:styleId="Header">
    <w:name w:val="header"/>
    <w:basedOn w:val="Normal"/>
    <w:link w:val="HeaderChar"/>
    <w:uiPriority w:val="99"/>
    <w:unhideWhenUsed/>
    <w:rsid w:val="00983F98"/>
    <w:pPr>
      <w:tabs>
        <w:tab w:val="center" w:pos="4680"/>
        <w:tab w:val="right" w:pos="9360"/>
      </w:tabs>
    </w:pPr>
  </w:style>
  <w:style w:type="character" w:customStyle="1" w:styleId="HeaderChar">
    <w:name w:val="Header Char"/>
    <w:basedOn w:val="DefaultParagraphFont"/>
    <w:link w:val="Header"/>
    <w:uiPriority w:val="99"/>
    <w:rsid w:val="00983F98"/>
  </w:style>
  <w:style w:type="paragraph" w:styleId="Footer">
    <w:name w:val="footer"/>
    <w:basedOn w:val="Normal"/>
    <w:link w:val="FooterChar"/>
    <w:uiPriority w:val="99"/>
    <w:unhideWhenUsed/>
    <w:rsid w:val="00983F98"/>
    <w:pPr>
      <w:tabs>
        <w:tab w:val="center" w:pos="4680"/>
        <w:tab w:val="right" w:pos="9360"/>
      </w:tabs>
    </w:pPr>
  </w:style>
  <w:style w:type="character" w:customStyle="1" w:styleId="FooterChar">
    <w:name w:val="Footer Char"/>
    <w:basedOn w:val="DefaultParagraphFont"/>
    <w:link w:val="Footer"/>
    <w:uiPriority w:val="99"/>
    <w:rsid w:val="0098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up-us.ahrq.gov/nisoverview.jsp" TargetMode="External"/><Relationship Id="rId13" Type="http://schemas.openxmlformats.org/officeDocument/2006/relationships/hyperlink" Target="https://www.ajog.org/article/S0002-9378(21)01284-9/fulltex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cup-us.ahrq.gov/nassoverview.jsp" TargetMode="External"/><Relationship Id="rId12" Type="http://schemas.openxmlformats.org/officeDocument/2006/relationships/hyperlink" Target="https://www.ajog.org/article/S0002-9378(21)01284-9/fulltex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rolyn.Huynh@ucsf.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9461420/" TargetMode="External"/><Relationship Id="rId5" Type="http://schemas.openxmlformats.org/officeDocument/2006/relationships/footnotes" Target="footnotes.xml"/><Relationship Id="rId15" Type="http://schemas.openxmlformats.org/officeDocument/2006/relationships/hyperlink" Target="https://journals.lww.com/journalacs/Fulltext/2015/10002/Disparities_in_receipt_of_epidural_analgesia.60.aspx" TargetMode="External"/><Relationship Id="rId10" Type="http://schemas.openxmlformats.org/officeDocument/2006/relationships/hyperlink" Target="https://pubmed.ncbi.nlm.nih.gov/315998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med.ncbi.nlm.nih.gov/36701615/" TargetMode="External"/><Relationship Id="rId14" Type="http://schemas.openxmlformats.org/officeDocument/2006/relationships/hyperlink" Target="https://www.ajog.org/article/S0002-9378(21)01284-9/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OB-MFMAdminSchedule</dc:creator>
  <cp:keywords/>
  <dc:description/>
  <cp:lastModifiedBy>Wren, Jacqueline</cp:lastModifiedBy>
  <cp:revision>3</cp:revision>
  <dcterms:created xsi:type="dcterms:W3CDTF">2023-07-25T16:21:00Z</dcterms:created>
  <dcterms:modified xsi:type="dcterms:W3CDTF">2026-04-18T01:32:00Z</dcterms:modified>
</cp:coreProperties>
</file>