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23292" w14:textId="77777777" w:rsidR="00BA290F" w:rsidRDefault="00BA290F" w:rsidP="00BA290F">
      <w:pPr>
        <w:rPr>
          <w:rFonts w:asciiTheme="minorHAnsi" w:hAnsiTheme="minorHAnsi" w:cstheme="minorHAnsi"/>
          <w:sz w:val="24"/>
          <w:szCs w:val="24"/>
        </w:rPr>
      </w:pPr>
    </w:p>
    <w:p w14:paraId="4E2EEB52" w14:textId="77777777" w:rsidR="00BA290F" w:rsidRDefault="00BA290F" w:rsidP="00BA290F">
      <w:pPr>
        <w:rPr>
          <w:rFonts w:asciiTheme="minorHAnsi" w:hAnsiTheme="minorHAnsi" w:cstheme="minorHAnsi"/>
          <w:sz w:val="24"/>
          <w:szCs w:val="24"/>
        </w:rPr>
      </w:pPr>
    </w:p>
    <w:p w14:paraId="00BCC5CB" w14:textId="77777777" w:rsidR="00AA7DA8" w:rsidRDefault="00AA7DA8" w:rsidP="00AA7DA8">
      <w:pPr>
        <w:rPr>
          <w:b/>
          <w:bCs/>
        </w:rPr>
      </w:pPr>
      <w:r>
        <w:rPr>
          <w:b/>
          <w:bCs/>
        </w:rPr>
        <w:t>Summary</w:t>
      </w:r>
    </w:p>
    <w:p w14:paraId="64FCB3AB" w14:textId="0DA5E410" w:rsidR="00AA7DA8" w:rsidRDefault="00AA7DA8" w:rsidP="00AA7DA8">
      <w:pPr>
        <w:pStyle w:val="ListParagraph"/>
        <w:numPr>
          <w:ilvl w:val="0"/>
          <w:numId w:val="1"/>
        </w:numPr>
      </w:pPr>
      <w:r>
        <w:t>Ob/Gyn fellows are always board eligible/board certified</w:t>
      </w:r>
    </w:p>
    <w:p w14:paraId="4D85866E" w14:textId="02D0D85C" w:rsidR="00AA7DA8" w:rsidRDefault="00AA7DA8" w:rsidP="00AA7DA8">
      <w:pPr>
        <w:pStyle w:val="ListParagraph"/>
        <w:numPr>
          <w:ilvl w:val="0"/>
          <w:numId w:val="1"/>
        </w:numPr>
      </w:pPr>
      <w:r>
        <w:t xml:space="preserve">Ob/Gyn fellows participate in both generalist </w:t>
      </w:r>
      <w:r w:rsidR="00607EF9">
        <w:t>O</w:t>
      </w:r>
      <w:r>
        <w:t>b/</w:t>
      </w:r>
      <w:r w:rsidR="00607EF9">
        <w:t>G</w:t>
      </w:r>
      <w:r>
        <w:t>yn clinical care as well as subspecialty care as part of their fellowships</w:t>
      </w:r>
    </w:p>
    <w:p w14:paraId="16831111" w14:textId="6810D7E7" w:rsidR="00AA7DA8" w:rsidRDefault="00AA7DA8" w:rsidP="00AA7DA8">
      <w:pPr>
        <w:pStyle w:val="ListParagraph"/>
        <w:numPr>
          <w:ilvl w:val="0"/>
          <w:numId w:val="1"/>
        </w:numPr>
      </w:pPr>
      <w:r>
        <w:t>This generalist work enhances their clinical confidence, as well as</w:t>
      </w:r>
      <w:r w:rsidR="00421508">
        <w:t>,</w:t>
      </w:r>
      <w:r>
        <w:t xml:space="preserve"> leadership and consultant abilities</w:t>
      </w:r>
    </w:p>
    <w:p w14:paraId="3D326A41" w14:textId="3DDC52F2" w:rsidR="00AA7DA8" w:rsidRPr="00E22546" w:rsidRDefault="00AA7DA8" w:rsidP="00AA7DA8">
      <w:pPr>
        <w:pStyle w:val="ListParagraph"/>
        <w:numPr>
          <w:ilvl w:val="0"/>
          <w:numId w:val="1"/>
        </w:numPr>
      </w:pPr>
      <w:r>
        <w:t xml:space="preserve">Ob/Gyn fellows are thus allowed to independently practice general </w:t>
      </w:r>
      <w:r w:rsidR="00607EF9">
        <w:t>O</w:t>
      </w:r>
      <w:r>
        <w:t>b/</w:t>
      </w:r>
      <w:r w:rsidR="00607EF9">
        <w:t>G</w:t>
      </w:r>
      <w:r>
        <w:t>yn, applying for privileges and billing as relevant, starting in July 2021.</w:t>
      </w:r>
    </w:p>
    <w:p w14:paraId="5223187A" w14:textId="77777777" w:rsidR="00AA7DA8" w:rsidRDefault="00AA7DA8" w:rsidP="00AA7DA8">
      <w:pPr>
        <w:rPr>
          <w:b/>
          <w:bCs/>
        </w:rPr>
      </w:pPr>
      <w:r>
        <w:rPr>
          <w:b/>
          <w:bCs/>
        </w:rPr>
        <w:t>Background</w:t>
      </w:r>
    </w:p>
    <w:p w14:paraId="1C7B483B" w14:textId="77777777" w:rsidR="00AA7DA8" w:rsidRDefault="00AA7DA8" w:rsidP="00AA7DA8">
      <w:pPr>
        <w:rPr>
          <w:i/>
          <w:iCs/>
        </w:rPr>
      </w:pPr>
      <w:r>
        <w:rPr>
          <w:i/>
          <w:iCs/>
        </w:rPr>
        <w:t>Fellows and the Independent Practice of Medicine (IPM)</w:t>
      </w:r>
    </w:p>
    <w:p w14:paraId="408ED29B" w14:textId="07B21D50" w:rsidR="00AA7DA8" w:rsidRDefault="00AA7DA8" w:rsidP="00AA7DA8">
      <w:r>
        <w:t xml:space="preserve">It has been longstanding UCSF GME policy to disallow fellow IPM for both educational and Medicare/CMS reasons. The ACGME &amp; the Ob/Gyn RC both made provisions to allow fellows to practice medicine independently in 2019.  The American Board of Obstetrics and Gynecology certifies individuals </w:t>
      </w:r>
      <w:r w:rsidR="00607EF9">
        <w:t xml:space="preserve">and </w:t>
      </w:r>
      <w:r>
        <w:t>does not comment on trainees</w:t>
      </w:r>
      <w:r w:rsidR="0018063E">
        <w:t>’</w:t>
      </w:r>
      <w:r>
        <w:t xml:space="preserve"> billing.  </w:t>
      </w:r>
    </w:p>
    <w:p w14:paraId="22535635" w14:textId="77777777" w:rsidR="00AA7DA8" w:rsidRDefault="00AA7DA8" w:rsidP="00AA7DA8"/>
    <w:p w14:paraId="42324F9D" w14:textId="77777777" w:rsidR="00AA7DA8" w:rsidRDefault="00AA7DA8" w:rsidP="00AA7DA8">
      <w:pPr>
        <w:rPr>
          <w:i/>
          <w:iCs/>
        </w:rPr>
      </w:pPr>
      <w:r>
        <w:rPr>
          <w:i/>
          <w:iCs/>
        </w:rPr>
        <w:t>Changes in the COVID Era</w:t>
      </w:r>
    </w:p>
    <w:p w14:paraId="1F250291" w14:textId="2B5F9D58" w:rsidR="00AA7DA8" w:rsidRDefault="00AA7DA8" w:rsidP="00AA7DA8">
      <w:r>
        <w:t>In 2020, the ACGME</w:t>
      </w:r>
      <w:r w:rsidR="001957CE">
        <w:t>, the OB/GYN RC</w:t>
      </w:r>
      <w:r w:rsidR="00607EF9">
        <w:t>,</w:t>
      </w:r>
      <w:r w:rsidR="001957CE">
        <w:t xml:space="preserve"> and UCSF allowed O</w:t>
      </w:r>
      <w:r w:rsidR="00607EF9">
        <w:t>b</w:t>
      </w:r>
      <w:r w:rsidR="001957CE">
        <w:t>/G</w:t>
      </w:r>
      <w:r w:rsidR="00607EF9">
        <w:t>yn</w:t>
      </w:r>
      <w:r w:rsidR="001957CE">
        <w:t xml:space="preserve"> fellows </w:t>
      </w:r>
      <w:r>
        <w:t xml:space="preserve">to obtain emergency credentialing to address labor shortages caused by the </w:t>
      </w:r>
      <w:r w:rsidR="0018063E">
        <w:t>p</w:t>
      </w:r>
      <w:r>
        <w:t>andemic. This established a precedent that fellows could now engage in IPM in the primary specialty in which they were board eligible/board certified, a precedent that has subsequently been extended outside of emergency credentialing.</w:t>
      </w:r>
    </w:p>
    <w:p w14:paraId="360A5EA9" w14:textId="77777777" w:rsidR="001957CE" w:rsidRDefault="001957CE" w:rsidP="00AA7DA8"/>
    <w:p w14:paraId="69E047EB" w14:textId="0E645FAE" w:rsidR="00AA7DA8" w:rsidRDefault="00AA7DA8" w:rsidP="00AA7DA8">
      <w:pPr>
        <w:rPr>
          <w:i/>
          <w:iCs/>
        </w:rPr>
      </w:pPr>
      <w:r>
        <w:rPr>
          <w:i/>
          <w:iCs/>
        </w:rPr>
        <w:t>Fellow</w:t>
      </w:r>
      <w:r w:rsidR="001957CE">
        <w:rPr>
          <w:i/>
          <w:iCs/>
        </w:rPr>
        <w:t>s</w:t>
      </w:r>
      <w:r>
        <w:rPr>
          <w:i/>
          <w:iCs/>
        </w:rPr>
        <w:t xml:space="preserve"> Billing</w:t>
      </w:r>
    </w:p>
    <w:p w14:paraId="5C33FB01" w14:textId="62B7FA7B" w:rsidR="00AA7DA8" w:rsidRPr="00345801" w:rsidRDefault="00AA7DA8" w:rsidP="00AA7DA8">
      <w:r>
        <w:t xml:space="preserve">While </w:t>
      </w:r>
      <w:r w:rsidR="001957CE">
        <w:t xml:space="preserve">fellows </w:t>
      </w:r>
      <w:r>
        <w:t xml:space="preserve">can now engage in IPM, this is only possible or desirable for most departments or divisions if the fellows can also bill for such practice. There were restrictions on such billing </w:t>
      </w:r>
      <w:r w:rsidR="0018063E">
        <w:t>by</w:t>
      </w:r>
      <w:r>
        <w:t xml:space="preserve"> Medicare and Medicaid, particularly for inpatient work, until December of 2020, at which time Medicare began to allow for billing under specific circumstances: (1) the resident (fellow) furnished identifiable physician services; (2) the resident</w:t>
      </w:r>
      <w:r w:rsidR="00607EF9">
        <w:t xml:space="preserve"> (fellow)</w:t>
      </w:r>
      <w:r>
        <w:t xml:space="preserve"> is fully licensed to practice medicine; (3) the services are not performed as part of the GME program.</w:t>
      </w:r>
    </w:p>
    <w:p w14:paraId="3E709FE1" w14:textId="77777777" w:rsidR="001957CE" w:rsidRDefault="001957CE" w:rsidP="00AA7DA8">
      <w:pPr>
        <w:rPr>
          <w:b/>
          <w:bCs/>
        </w:rPr>
      </w:pPr>
    </w:p>
    <w:p w14:paraId="6DF7E5B1" w14:textId="3BB74DE2" w:rsidR="00AA7DA8" w:rsidRDefault="00AA7DA8" w:rsidP="00AA7DA8">
      <w:pPr>
        <w:rPr>
          <w:b/>
          <w:bCs/>
        </w:rPr>
      </w:pPr>
      <w:r>
        <w:rPr>
          <w:b/>
          <w:bCs/>
        </w:rPr>
        <w:t xml:space="preserve">Current State </w:t>
      </w:r>
    </w:p>
    <w:p w14:paraId="40F0EED5" w14:textId="6937A5F0" w:rsidR="00315C39" w:rsidRPr="00315C39" w:rsidRDefault="001957CE" w:rsidP="00BA290F">
      <w:pPr>
        <w:rPr>
          <w:rFonts w:asciiTheme="minorHAnsi" w:hAnsiTheme="minorHAnsi" w:cstheme="minorHAnsi"/>
          <w:sz w:val="24"/>
          <w:szCs w:val="24"/>
        </w:rPr>
      </w:pPr>
      <w:r>
        <w:rPr>
          <w:rFonts w:asciiTheme="minorHAnsi" w:hAnsiTheme="minorHAnsi" w:cstheme="minorHAnsi"/>
          <w:sz w:val="24"/>
          <w:szCs w:val="24"/>
        </w:rPr>
        <w:t>The Ob/Gyn</w:t>
      </w:r>
      <w:r w:rsidR="00607EF9">
        <w:rPr>
          <w:rFonts w:asciiTheme="minorHAnsi" w:hAnsiTheme="minorHAnsi" w:cstheme="minorHAnsi"/>
          <w:sz w:val="24"/>
          <w:szCs w:val="24"/>
        </w:rPr>
        <w:t xml:space="preserve"> </w:t>
      </w:r>
      <w:r w:rsidR="00EA4CB3">
        <w:rPr>
          <w:rFonts w:asciiTheme="minorHAnsi" w:hAnsiTheme="minorHAnsi" w:cstheme="minorHAnsi"/>
          <w:sz w:val="24"/>
          <w:szCs w:val="24"/>
        </w:rPr>
        <w:t>&amp;</w:t>
      </w:r>
      <w:r w:rsidR="00607EF9">
        <w:rPr>
          <w:rFonts w:asciiTheme="minorHAnsi" w:hAnsiTheme="minorHAnsi" w:cstheme="minorHAnsi"/>
          <w:sz w:val="24"/>
          <w:szCs w:val="24"/>
        </w:rPr>
        <w:t xml:space="preserve"> </w:t>
      </w:r>
      <w:r w:rsidR="00EA4CB3">
        <w:rPr>
          <w:rFonts w:asciiTheme="minorHAnsi" w:hAnsiTheme="minorHAnsi" w:cstheme="minorHAnsi"/>
          <w:sz w:val="24"/>
          <w:szCs w:val="24"/>
        </w:rPr>
        <w:t>RS</w:t>
      </w:r>
      <w:r>
        <w:rPr>
          <w:rFonts w:asciiTheme="minorHAnsi" w:hAnsiTheme="minorHAnsi" w:cstheme="minorHAnsi"/>
          <w:sz w:val="24"/>
          <w:szCs w:val="24"/>
        </w:rPr>
        <w:t xml:space="preserve"> Department at UCSF will include</w:t>
      </w:r>
      <w:r w:rsidR="00315C39" w:rsidRPr="00315C39">
        <w:rPr>
          <w:rFonts w:asciiTheme="minorHAnsi" w:hAnsiTheme="minorHAnsi" w:cstheme="minorHAnsi"/>
          <w:sz w:val="24"/>
          <w:szCs w:val="24"/>
        </w:rPr>
        <w:t xml:space="preserve"> independent practice </w:t>
      </w:r>
      <w:r>
        <w:rPr>
          <w:rFonts w:asciiTheme="minorHAnsi" w:hAnsiTheme="minorHAnsi" w:cstheme="minorHAnsi"/>
          <w:sz w:val="24"/>
          <w:szCs w:val="24"/>
        </w:rPr>
        <w:t xml:space="preserve">in </w:t>
      </w:r>
      <w:r w:rsidR="00315C39" w:rsidRPr="00315C39">
        <w:rPr>
          <w:rFonts w:asciiTheme="minorHAnsi" w:hAnsiTheme="minorHAnsi" w:cstheme="minorHAnsi"/>
          <w:sz w:val="24"/>
          <w:szCs w:val="24"/>
        </w:rPr>
        <w:t>complex family planning, maternal fetal medicine, and reproductive endocrinology fellowships.  The department and fellowship leadership believe that this opportunity will strengthen the fellow’s core knowledge, confidence</w:t>
      </w:r>
      <w:r w:rsidR="00421508">
        <w:rPr>
          <w:rFonts w:asciiTheme="minorHAnsi" w:hAnsiTheme="minorHAnsi" w:cstheme="minorHAnsi"/>
          <w:sz w:val="24"/>
          <w:szCs w:val="24"/>
        </w:rPr>
        <w:t>,</w:t>
      </w:r>
      <w:r w:rsidR="00315C39" w:rsidRPr="00315C39">
        <w:rPr>
          <w:rFonts w:asciiTheme="minorHAnsi" w:hAnsiTheme="minorHAnsi" w:cstheme="minorHAnsi"/>
          <w:sz w:val="24"/>
          <w:szCs w:val="24"/>
        </w:rPr>
        <w:t xml:space="preserve"> and independence.   Independent practice will comply with ACGME guidelines</w:t>
      </w:r>
      <w:r w:rsidR="004A2068">
        <w:rPr>
          <w:rFonts w:asciiTheme="minorHAnsi" w:hAnsiTheme="minorHAnsi" w:cstheme="minorHAnsi"/>
          <w:sz w:val="24"/>
          <w:szCs w:val="24"/>
        </w:rPr>
        <w:t>.</w:t>
      </w:r>
    </w:p>
    <w:p w14:paraId="7D60D540" w14:textId="2B4629C0" w:rsidR="00315C39" w:rsidRDefault="00315C39" w:rsidP="001A6C29">
      <w:pPr>
        <w:pStyle w:val="NormalWeb"/>
        <w:rPr>
          <w:rFonts w:asciiTheme="minorHAnsi" w:hAnsiTheme="minorHAnsi" w:cstheme="minorHAnsi"/>
          <w:sz w:val="24"/>
          <w:szCs w:val="24"/>
        </w:rPr>
      </w:pPr>
      <w:r>
        <w:rPr>
          <w:rFonts w:asciiTheme="minorHAnsi" w:hAnsiTheme="minorHAnsi" w:cstheme="minorHAnsi"/>
          <w:sz w:val="24"/>
          <w:szCs w:val="24"/>
        </w:rPr>
        <w:t>-</w:t>
      </w:r>
      <w:r w:rsidRPr="00315C39">
        <w:rPr>
          <w:rFonts w:asciiTheme="minorHAnsi" w:hAnsiTheme="minorHAnsi" w:cstheme="minorHAnsi"/>
          <w:sz w:val="24"/>
          <w:szCs w:val="24"/>
        </w:rPr>
        <w:t xml:space="preserve">Independent practice will </w:t>
      </w:r>
      <w:r w:rsidR="001A6C29" w:rsidRPr="00315C39">
        <w:rPr>
          <w:rFonts w:asciiTheme="minorHAnsi" w:hAnsiTheme="minorHAnsi" w:cstheme="minorHAnsi"/>
          <w:sz w:val="24"/>
          <w:szCs w:val="24"/>
        </w:rPr>
        <w:t>not</w:t>
      </w:r>
      <w:r w:rsidRPr="00315C39">
        <w:rPr>
          <w:rFonts w:asciiTheme="minorHAnsi" w:hAnsiTheme="minorHAnsi" w:cstheme="minorHAnsi"/>
          <w:sz w:val="24"/>
          <w:szCs w:val="24"/>
        </w:rPr>
        <w:t xml:space="preserve"> </w:t>
      </w:r>
      <w:r w:rsidR="001A6C29" w:rsidRPr="00315C39">
        <w:rPr>
          <w:rFonts w:asciiTheme="minorHAnsi" w:hAnsiTheme="minorHAnsi" w:cstheme="minorHAnsi"/>
          <w:sz w:val="24"/>
          <w:szCs w:val="24"/>
        </w:rPr>
        <w:t>interfere with fellows’ subspecialty education</w:t>
      </w:r>
      <w:r w:rsidRPr="00315C39">
        <w:rPr>
          <w:rFonts w:asciiTheme="minorHAnsi" w:hAnsiTheme="minorHAnsi" w:cstheme="minorHAnsi"/>
          <w:sz w:val="24"/>
          <w:szCs w:val="24"/>
        </w:rPr>
        <w:t xml:space="preserve"> and will</w:t>
      </w:r>
      <w:r w:rsidR="001A6C29" w:rsidRPr="00315C39">
        <w:rPr>
          <w:rFonts w:asciiTheme="minorHAnsi" w:hAnsiTheme="minorHAnsi" w:cstheme="minorHAnsi"/>
          <w:sz w:val="24"/>
          <w:szCs w:val="24"/>
        </w:rPr>
        <w:t xml:space="preserve"> only be assigned by the program director and is distinct from moonlighting, which is voluntary. </w:t>
      </w:r>
      <w:r w:rsidRPr="00315C39">
        <w:rPr>
          <w:rFonts w:asciiTheme="minorHAnsi" w:hAnsiTheme="minorHAnsi" w:cstheme="minorHAnsi"/>
          <w:sz w:val="24"/>
          <w:szCs w:val="24"/>
        </w:rPr>
        <w:t>I</w:t>
      </w:r>
      <w:r w:rsidR="001A6C29" w:rsidRPr="00315C39">
        <w:rPr>
          <w:rFonts w:asciiTheme="minorHAnsi" w:hAnsiTheme="minorHAnsi" w:cstheme="minorHAnsi"/>
          <w:sz w:val="24"/>
          <w:szCs w:val="24"/>
        </w:rPr>
        <w:t xml:space="preserve">ndependent practice and moonlighting hours must collectively adhere to the work hour requirements. </w:t>
      </w:r>
      <w:r>
        <w:rPr>
          <w:rFonts w:asciiTheme="minorHAnsi" w:hAnsiTheme="minorHAnsi" w:cstheme="minorHAnsi"/>
          <w:sz w:val="24"/>
          <w:szCs w:val="24"/>
        </w:rPr>
        <w:t xml:space="preserve"> </w:t>
      </w:r>
    </w:p>
    <w:p w14:paraId="3DBC6CC3" w14:textId="57FA8C97" w:rsidR="00AE1260" w:rsidRPr="002D24D2" w:rsidRDefault="001957CE" w:rsidP="001A6C29">
      <w:pPr>
        <w:pStyle w:val="NormalWeb"/>
      </w:pPr>
      <w:r>
        <w:rPr>
          <w:rFonts w:asciiTheme="minorHAnsi" w:hAnsiTheme="minorHAnsi" w:cstheme="minorHAnsi"/>
          <w:sz w:val="24"/>
          <w:szCs w:val="24"/>
        </w:rPr>
        <w:t xml:space="preserve">-Independent practice </w:t>
      </w:r>
      <w:r w:rsidR="00AE1260">
        <w:rPr>
          <w:rFonts w:asciiTheme="minorHAnsi" w:hAnsiTheme="minorHAnsi" w:cstheme="minorHAnsi"/>
          <w:sz w:val="24"/>
          <w:szCs w:val="24"/>
        </w:rPr>
        <w:t xml:space="preserve">guidelines are separate from billing and can occur both during independent practice as well as </w:t>
      </w:r>
      <w:r w:rsidR="00BA290F">
        <w:rPr>
          <w:rFonts w:asciiTheme="minorHAnsi" w:hAnsiTheme="minorHAnsi" w:cstheme="minorHAnsi"/>
          <w:sz w:val="24"/>
          <w:szCs w:val="24"/>
        </w:rPr>
        <w:t>moonlighting</w:t>
      </w:r>
      <w:r w:rsidR="001A27B1">
        <w:rPr>
          <w:rFonts w:asciiTheme="minorHAnsi" w:hAnsiTheme="minorHAnsi" w:cstheme="minorHAnsi"/>
          <w:sz w:val="24"/>
          <w:szCs w:val="24"/>
        </w:rPr>
        <w:t xml:space="preserve"> (inpatient or outpatient)</w:t>
      </w:r>
      <w:r w:rsidR="00BA290F">
        <w:rPr>
          <w:rFonts w:asciiTheme="minorHAnsi" w:hAnsiTheme="minorHAnsi" w:cstheme="minorHAnsi"/>
          <w:sz w:val="24"/>
          <w:szCs w:val="24"/>
        </w:rPr>
        <w:t xml:space="preserve"> </w:t>
      </w:r>
      <w:r w:rsidR="00AE1260">
        <w:rPr>
          <w:rFonts w:asciiTheme="minorHAnsi" w:hAnsiTheme="minorHAnsi" w:cstheme="minorHAnsi"/>
          <w:sz w:val="24"/>
          <w:szCs w:val="24"/>
        </w:rPr>
        <w:t xml:space="preserve">when fellows are </w:t>
      </w:r>
      <w:r w:rsidR="00AE1260" w:rsidRPr="002D24D2">
        <w:lastRenderedPageBreak/>
        <w:t xml:space="preserve">involved in maintenance of skills associated with independent practice as an obstetrics and gynecology specialist. The skills of an obstetrics and gynecology specialist are delineated in the appointment and privileging of new specialist hires at each institution and constitute those skills that obstetrics and gynecology residents are certified to </w:t>
      </w:r>
      <w:r w:rsidR="00607EF9" w:rsidRPr="002D24D2">
        <w:t>perform</w:t>
      </w:r>
      <w:r w:rsidR="00AE1260" w:rsidRPr="002D24D2">
        <w:t xml:space="preserve"> independently </w:t>
      </w:r>
      <w:r w:rsidR="00EA4CB3" w:rsidRPr="002D24D2">
        <w:t>after</w:t>
      </w:r>
      <w:r w:rsidR="00AE1260" w:rsidRPr="002D24D2">
        <w:t xml:space="preserve"> graduating from residency. </w:t>
      </w:r>
    </w:p>
    <w:p w14:paraId="530F019A" w14:textId="14D1C1A7" w:rsidR="00AE1260" w:rsidRPr="002D24D2" w:rsidRDefault="00AE1260" w:rsidP="001A6C29">
      <w:pPr>
        <w:pStyle w:val="NormalWeb"/>
      </w:pPr>
      <w:r w:rsidRPr="002D24D2">
        <w:t>Below are the subspecialty specific activities</w:t>
      </w:r>
      <w:r w:rsidR="00EA4CB3" w:rsidRPr="002D24D2">
        <w:t xml:space="preserve"> with specification of which activities are allowed as </w:t>
      </w:r>
      <w:r w:rsidRPr="002D24D2">
        <w:t xml:space="preserve">independent practice </w:t>
      </w:r>
      <w:r w:rsidR="001957CE" w:rsidRPr="002D24D2">
        <w:t xml:space="preserve">and </w:t>
      </w:r>
      <w:r w:rsidR="00EA4CB3" w:rsidRPr="002D24D2">
        <w:t>for which fellows may bill for patient care:</w:t>
      </w:r>
      <w:r w:rsidR="009119EB" w:rsidRPr="002D24D2">
        <w:t xml:space="preserve"> </w:t>
      </w:r>
    </w:p>
    <w:p w14:paraId="3460546E" w14:textId="7851CBF4" w:rsidR="00BA290F" w:rsidRPr="00953082" w:rsidRDefault="00BA290F" w:rsidP="00BA290F">
      <w:pPr>
        <w:rPr>
          <w:b/>
          <w:bCs/>
          <w:sz w:val="24"/>
          <w:szCs w:val="24"/>
        </w:rPr>
      </w:pPr>
      <w:r w:rsidRPr="00953082">
        <w:rPr>
          <w:b/>
          <w:bCs/>
          <w:sz w:val="24"/>
          <w:szCs w:val="24"/>
        </w:rPr>
        <w:t>Complex Family Planning:</w:t>
      </w:r>
      <w:r w:rsidR="009119EB" w:rsidRPr="00953082">
        <w:rPr>
          <w:b/>
          <w:bCs/>
          <w:sz w:val="24"/>
          <w:szCs w:val="24"/>
        </w:rPr>
        <w:t xml:space="preserve"> </w:t>
      </w:r>
    </w:p>
    <w:p w14:paraId="7F4D7017" w14:textId="131B49F4" w:rsidR="009119EB" w:rsidRDefault="009119EB" w:rsidP="00BA290F">
      <w:pPr>
        <w:rPr>
          <w:sz w:val="24"/>
          <w:szCs w:val="24"/>
        </w:rPr>
      </w:pPr>
      <w:r w:rsidRPr="00953082">
        <w:rPr>
          <w:b/>
          <w:bCs/>
          <w:sz w:val="24"/>
          <w:szCs w:val="24"/>
        </w:rPr>
        <w:t xml:space="preserve">Educational </w:t>
      </w:r>
      <w:r w:rsidRPr="00607EF9">
        <w:rPr>
          <w:sz w:val="24"/>
          <w:szCs w:val="24"/>
        </w:rPr>
        <w:t xml:space="preserve">sites </w:t>
      </w:r>
      <w:r w:rsidR="00EA4CB3" w:rsidRPr="00607EF9">
        <w:rPr>
          <w:sz w:val="24"/>
          <w:szCs w:val="24"/>
        </w:rPr>
        <w:t xml:space="preserve">that are </w:t>
      </w:r>
      <w:r w:rsidRPr="00607EF9">
        <w:rPr>
          <w:sz w:val="24"/>
          <w:szCs w:val="24"/>
        </w:rPr>
        <w:t>not</w:t>
      </w:r>
      <w:r w:rsidR="001F1A7B" w:rsidRPr="00607EF9">
        <w:rPr>
          <w:sz w:val="24"/>
          <w:szCs w:val="24"/>
        </w:rPr>
        <w:t xml:space="preserve"> allowed for</w:t>
      </w:r>
      <w:r w:rsidRPr="00607EF9">
        <w:rPr>
          <w:sz w:val="24"/>
          <w:szCs w:val="24"/>
        </w:rPr>
        <w:t xml:space="preserve"> independent practice:</w:t>
      </w:r>
      <w:r>
        <w:rPr>
          <w:sz w:val="24"/>
          <w:szCs w:val="24"/>
        </w:rPr>
        <w:t xml:space="preserve"> WOC MZ, WOC </w:t>
      </w:r>
      <w:r w:rsidR="005D3C20">
        <w:rPr>
          <w:sz w:val="24"/>
          <w:szCs w:val="24"/>
        </w:rPr>
        <w:t>Z</w:t>
      </w:r>
      <w:r>
        <w:rPr>
          <w:sz w:val="24"/>
          <w:szCs w:val="24"/>
        </w:rPr>
        <w:t>SFG</w:t>
      </w:r>
    </w:p>
    <w:p w14:paraId="6E93C664" w14:textId="605C6295" w:rsidR="00BA290F" w:rsidRDefault="009119EB" w:rsidP="00BA290F">
      <w:pPr>
        <w:rPr>
          <w:sz w:val="24"/>
          <w:szCs w:val="24"/>
        </w:rPr>
      </w:pPr>
      <w:r w:rsidRPr="00953082">
        <w:rPr>
          <w:b/>
          <w:bCs/>
          <w:sz w:val="24"/>
          <w:szCs w:val="24"/>
        </w:rPr>
        <w:t>Independent Practice</w:t>
      </w:r>
      <w:r w:rsidR="001F1A7B">
        <w:rPr>
          <w:b/>
          <w:bCs/>
          <w:sz w:val="24"/>
          <w:szCs w:val="24"/>
        </w:rPr>
        <w:t xml:space="preserve"> activities that are allowed</w:t>
      </w:r>
      <w:r w:rsidRPr="00953082">
        <w:rPr>
          <w:b/>
          <w:bCs/>
          <w:sz w:val="24"/>
          <w:szCs w:val="24"/>
        </w:rPr>
        <w:t>:</w:t>
      </w:r>
      <w:r>
        <w:rPr>
          <w:sz w:val="24"/>
          <w:szCs w:val="24"/>
        </w:rPr>
        <w:t xml:space="preserve"> </w:t>
      </w:r>
      <w:r w:rsidR="00BA290F">
        <w:rPr>
          <w:sz w:val="24"/>
          <w:szCs w:val="24"/>
        </w:rPr>
        <w:t>Outpatient low risk obstetrics</w:t>
      </w:r>
      <w:r w:rsidR="001957CE">
        <w:rPr>
          <w:sz w:val="24"/>
          <w:szCs w:val="24"/>
        </w:rPr>
        <w:t xml:space="preserve">, </w:t>
      </w:r>
      <w:r w:rsidR="004A2068">
        <w:rPr>
          <w:sz w:val="24"/>
          <w:szCs w:val="24"/>
        </w:rPr>
        <w:t>Outpatient benign gynecology</w:t>
      </w:r>
      <w:r w:rsidR="001957CE">
        <w:rPr>
          <w:sz w:val="24"/>
          <w:szCs w:val="24"/>
        </w:rPr>
        <w:t>, Inpatient obstetrics</w:t>
      </w:r>
      <w:r>
        <w:rPr>
          <w:sz w:val="24"/>
          <w:szCs w:val="24"/>
        </w:rPr>
        <w:t xml:space="preserve">, Inpatient </w:t>
      </w:r>
      <w:r w:rsidR="00953082">
        <w:rPr>
          <w:sz w:val="24"/>
          <w:szCs w:val="24"/>
        </w:rPr>
        <w:t xml:space="preserve">benign </w:t>
      </w:r>
      <w:r>
        <w:rPr>
          <w:sz w:val="24"/>
          <w:szCs w:val="24"/>
        </w:rPr>
        <w:t xml:space="preserve">gynecology and gynecologic surgery </w:t>
      </w:r>
    </w:p>
    <w:p w14:paraId="53E03390" w14:textId="5B271020" w:rsidR="00BA290F" w:rsidRDefault="00BA290F" w:rsidP="00BA290F">
      <w:pPr>
        <w:rPr>
          <w:sz w:val="24"/>
          <w:szCs w:val="24"/>
        </w:rPr>
      </w:pPr>
    </w:p>
    <w:p w14:paraId="6886BC22" w14:textId="77777777" w:rsidR="00BA290F" w:rsidRPr="00953082" w:rsidRDefault="00BA290F" w:rsidP="00BA290F">
      <w:pPr>
        <w:rPr>
          <w:b/>
          <w:bCs/>
          <w:sz w:val="24"/>
          <w:szCs w:val="24"/>
        </w:rPr>
      </w:pPr>
      <w:r w:rsidRPr="00953082">
        <w:rPr>
          <w:b/>
          <w:bCs/>
          <w:sz w:val="24"/>
          <w:szCs w:val="24"/>
        </w:rPr>
        <w:t>Maternal Fetal Medicine:</w:t>
      </w:r>
    </w:p>
    <w:p w14:paraId="66125DC5" w14:textId="3C7D8E8D" w:rsidR="009119EB" w:rsidRDefault="009119EB" w:rsidP="00BA290F">
      <w:pPr>
        <w:rPr>
          <w:sz w:val="24"/>
          <w:szCs w:val="24"/>
        </w:rPr>
      </w:pPr>
      <w:r w:rsidRPr="00953082">
        <w:rPr>
          <w:b/>
          <w:bCs/>
          <w:sz w:val="24"/>
          <w:szCs w:val="24"/>
        </w:rPr>
        <w:t xml:space="preserve">Educational </w:t>
      </w:r>
      <w:r w:rsidRPr="00607EF9">
        <w:rPr>
          <w:b/>
          <w:bCs/>
          <w:sz w:val="24"/>
          <w:szCs w:val="24"/>
        </w:rPr>
        <w:t>Sites</w:t>
      </w:r>
      <w:r w:rsidR="001F1A7B" w:rsidRPr="00607EF9">
        <w:rPr>
          <w:b/>
          <w:bCs/>
          <w:sz w:val="24"/>
          <w:szCs w:val="24"/>
        </w:rPr>
        <w:t xml:space="preserve"> that are not allowed for independent practice</w:t>
      </w:r>
      <w:r w:rsidRPr="00607EF9">
        <w:rPr>
          <w:b/>
          <w:bCs/>
          <w:sz w:val="24"/>
          <w:szCs w:val="24"/>
        </w:rPr>
        <w:t>:</w:t>
      </w:r>
      <w:r>
        <w:rPr>
          <w:sz w:val="24"/>
          <w:szCs w:val="24"/>
        </w:rPr>
        <w:t xml:space="preserve"> SFGH HROB clinic, </w:t>
      </w:r>
      <w:r w:rsidR="00953082">
        <w:rPr>
          <w:sz w:val="24"/>
          <w:szCs w:val="24"/>
        </w:rPr>
        <w:t xml:space="preserve">MB high risk </w:t>
      </w:r>
      <w:r w:rsidR="001F1A7B">
        <w:rPr>
          <w:sz w:val="24"/>
          <w:szCs w:val="24"/>
        </w:rPr>
        <w:t xml:space="preserve">ambulatory </w:t>
      </w:r>
      <w:r w:rsidR="00953082">
        <w:rPr>
          <w:sz w:val="24"/>
          <w:szCs w:val="24"/>
        </w:rPr>
        <w:t>obstetrics</w:t>
      </w:r>
      <w:r w:rsidR="001F1A7B">
        <w:rPr>
          <w:sz w:val="24"/>
          <w:szCs w:val="24"/>
        </w:rPr>
        <w:t>,</w:t>
      </w:r>
      <w:r w:rsidR="00953082">
        <w:rPr>
          <w:sz w:val="24"/>
          <w:szCs w:val="24"/>
        </w:rPr>
        <w:t xml:space="preserve"> MB inpatient antepartum service</w:t>
      </w:r>
      <w:r w:rsidR="001F1A7B">
        <w:rPr>
          <w:sz w:val="24"/>
          <w:szCs w:val="24"/>
        </w:rPr>
        <w:t>, MB and satellite PDC clinics</w:t>
      </w:r>
    </w:p>
    <w:p w14:paraId="13EC465C" w14:textId="3AA0F732" w:rsidR="00BA290F" w:rsidRDefault="009119EB" w:rsidP="00BA290F">
      <w:pPr>
        <w:rPr>
          <w:sz w:val="24"/>
          <w:szCs w:val="24"/>
        </w:rPr>
      </w:pPr>
      <w:r w:rsidRPr="00953082">
        <w:rPr>
          <w:b/>
          <w:bCs/>
          <w:sz w:val="24"/>
          <w:szCs w:val="24"/>
        </w:rPr>
        <w:t>Independent Practice</w:t>
      </w:r>
      <w:r w:rsidR="001F1A7B">
        <w:rPr>
          <w:b/>
          <w:bCs/>
          <w:sz w:val="24"/>
          <w:szCs w:val="24"/>
        </w:rPr>
        <w:t xml:space="preserve"> activities that are allowed</w:t>
      </w:r>
      <w:r w:rsidRPr="00953082">
        <w:rPr>
          <w:b/>
          <w:bCs/>
          <w:sz w:val="24"/>
          <w:szCs w:val="24"/>
        </w:rPr>
        <w:t>:</w:t>
      </w:r>
      <w:r>
        <w:rPr>
          <w:sz w:val="24"/>
          <w:szCs w:val="24"/>
        </w:rPr>
        <w:t xml:space="preserve"> </w:t>
      </w:r>
      <w:r w:rsidR="00BA290F">
        <w:rPr>
          <w:sz w:val="24"/>
          <w:szCs w:val="24"/>
        </w:rPr>
        <w:t>Outpatient low risk obstetric</w:t>
      </w:r>
      <w:r w:rsidR="004A2068">
        <w:rPr>
          <w:sz w:val="24"/>
          <w:szCs w:val="24"/>
        </w:rPr>
        <w:t>s</w:t>
      </w:r>
      <w:r w:rsidR="001957CE">
        <w:rPr>
          <w:sz w:val="24"/>
          <w:szCs w:val="24"/>
        </w:rPr>
        <w:t>, Inpatient low-risk obstetrics</w:t>
      </w:r>
      <w:r>
        <w:rPr>
          <w:sz w:val="24"/>
          <w:szCs w:val="24"/>
        </w:rPr>
        <w:t>,</w:t>
      </w:r>
      <w:r w:rsidR="00953082">
        <w:rPr>
          <w:sz w:val="24"/>
          <w:szCs w:val="24"/>
        </w:rPr>
        <w:t xml:space="preserve"> Inpatient benign gynecology and gynecologic surgery</w:t>
      </w:r>
    </w:p>
    <w:p w14:paraId="04A27C49" w14:textId="77777777" w:rsidR="00BA290F" w:rsidRPr="00953082" w:rsidRDefault="00BA290F" w:rsidP="00BA290F">
      <w:pPr>
        <w:rPr>
          <w:b/>
          <w:bCs/>
          <w:sz w:val="24"/>
          <w:szCs w:val="24"/>
        </w:rPr>
      </w:pPr>
    </w:p>
    <w:p w14:paraId="37CE9C0C" w14:textId="2A5BC33A" w:rsidR="00AE1260" w:rsidRPr="00953082" w:rsidRDefault="00AE1260" w:rsidP="00315C39">
      <w:pPr>
        <w:rPr>
          <w:b/>
          <w:bCs/>
          <w:sz w:val="24"/>
          <w:szCs w:val="24"/>
        </w:rPr>
      </w:pPr>
      <w:r w:rsidRPr="00953082">
        <w:rPr>
          <w:b/>
          <w:bCs/>
          <w:sz w:val="24"/>
          <w:szCs w:val="24"/>
        </w:rPr>
        <w:t>Reproductive Endocrinology</w:t>
      </w:r>
      <w:r w:rsidR="00BA290F" w:rsidRPr="00953082">
        <w:rPr>
          <w:b/>
          <w:bCs/>
          <w:sz w:val="24"/>
          <w:szCs w:val="24"/>
        </w:rPr>
        <w:t>:</w:t>
      </w:r>
    </w:p>
    <w:p w14:paraId="6D882838" w14:textId="61C820E9" w:rsidR="009119EB" w:rsidRDefault="009119EB" w:rsidP="00315C39">
      <w:pPr>
        <w:rPr>
          <w:sz w:val="24"/>
          <w:szCs w:val="24"/>
        </w:rPr>
      </w:pPr>
      <w:r w:rsidRPr="00953082">
        <w:rPr>
          <w:b/>
          <w:bCs/>
          <w:sz w:val="24"/>
          <w:szCs w:val="24"/>
        </w:rPr>
        <w:t>Educational Sites</w:t>
      </w:r>
      <w:r w:rsidR="00607EF9">
        <w:rPr>
          <w:b/>
          <w:bCs/>
          <w:sz w:val="24"/>
          <w:szCs w:val="24"/>
        </w:rPr>
        <w:t xml:space="preserve"> that are not allowed for independent practice: </w:t>
      </w:r>
      <w:r>
        <w:rPr>
          <w:sz w:val="24"/>
          <w:szCs w:val="24"/>
        </w:rPr>
        <w:t xml:space="preserve"> </w:t>
      </w:r>
      <w:r w:rsidR="00953082">
        <w:rPr>
          <w:sz w:val="24"/>
          <w:szCs w:val="24"/>
        </w:rPr>
        <w:t xml:space="preserve">MB CRH </w:t>
      </w:r>
    </w:p>
    <w:p w14:paraId="56545F26" w14:textId="0F005798" w:rsidR="00953082" w:rsidRDefault="009119EB" w:rsidP="00953082">
      <w:pPr>
        <w:rPr>
          <w:sz w:val="24"/>
          <w:szCs w:val="24"/>
        </w:rPr>
      </w:pPr>
      <w:r w:rsidRPr="00953082">
        <w:rPr>
          <w:b/>
          <w:bCs/>
          <w:sz w:val="24"/>
          <w:szCs w:val="24"/>
        </w:rPr>
        <w:t>Independent Practice</w:t>
      </w:r>
      <w:r w:rsidR="00D12B40">
        <w:rPr>
          <w:b/>
          <w:bCs/>
          <w:sz w:val="24"/>
          <w:szCs w:val="24"/>
        </w:rPr>
        <w:t xml:space="preserve"> activities that are allowed</w:t>
      </w:r>
      <w:r w:rsidRPr="00953082">
        <w:rPr>
          <w:b/>
          <w:bCs/>
          <w:sz w:val="24"/>
          <w:szCs w:val="24"/>
        </w:rPr>
        <w:t>:</w:t>
      </w:r>
      <w:r>
        <w:rPr>
          <w:sz w:val="24"/>
          <w:szCs w:val="24"/>
        </w:rPr>
        <w:t xml:space="preserve"> </w:t>
      </w:r>
      <w:r w:rsidR="00953082">
        <w:rPr>
          <w:sz w:val="24"/>
          <w:szCs w:val="24"/>
        </w:rPr>
        <w:t xml:space="preserve">Outpatient benign gynecology, Inpatient benign gynecology and gynecologic surgery </w:t>
      </w:r>
    </w:p>
    <w:p w14:paraId="25784487" w14:textId="7DD31D07" w:rsidR="00315C39" w:rsidRPr="00315C39" w:rsidRDefault="00315C39" w:rsidP="00315C39">
      <w:pPr>
        <w:rPr>
          <w:sz w:val="24"/>
          <w:szCs w:val="24"/>
        </w:rPr>
      </w:pPr>
    </w:p>
    <w:p w14:paraId="108565B1" w14:textId="689B017A" w:rsidR="00BA290F" w:rsidRDefault="00BA290F" w:rsidP="00315C39">
      <w:pPr>
        <w:rPr>
          <w:sz w:val="24"/>
          <w:szCs w:val="24"/>
        </w:rPr>
      </w:pPr>
    </w:p>
    <w:p w14:paraId="0A4F7641" w14:textId="77777777" w:rsidR="00315C39" w:rsidRDefault="00315C39" w:rsidP="001A6C29">
      <w:pPr>
        <w:pStyle w:val="NormalWeb"/>
      </w:pPr>
    </w:p>
    <w:p w14:paraId="5A2EF148" w14:textId="77777777" w:rsidR="007F6601" w:rsidRDefault="007F6601"/>
    <w:sectPr w:rsidR="007F66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AEAEA" w14:textId="77777777" w:rsidR="00E06557" w:rsidRDefault="00E06557" w:rsidP="00BA290F">
      <w:r>
        <w:separator/>
      </w:r>
    </w:p>
  </w:endnote>
  <w:endnote w:type="continuationSeparator" w:id="0">
    <w:p w14:paraId="2A943F1B" w14:textId="77777777" w:rsidR="00E06557" w:rsidRDefault="00E06557" w:rsidP="00BA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FF927" w14:textId="77777777" w:rsidR="00E06557" w:rsidRDefault="00E06557" w:rsidP="00BA290F">
      <w:r>
        <w:separator/>
      </w:r>
    </w:p>
  </w:footnote>
  <w:footnote w:type="continuationSeparator" w:id="0">
    <w:p w14:paraId="33433498" w14:textId="77777777" w:rsidR="00E06557" w:rsidRDefault="00E06557" w:rsidP="00BA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9B3A" w14:textId="0528A7AC" w:rsidR="00BA290F" w:rsidRDefault="00AA7DA8" w:rsidP="00BA290F">
    <w:pPr>
      <w:pStyle w:val="Header"/>
      <w:jc w:val="center"/>
    </w:pPr>
    <w:r>
      <w:t>Department of Obstetrics, Gynecology, and Reproductive Sciences</w:t>
    </w:r>
  </w:p>
  <w:p w14:paraId="03B52F28" w14:textId="24057741" w:rsidR="00AA7DA8" w:rsidRDefault="00AA7DA8" w:rsidP="00BA290F">
    <w:pPr>
      <w:pStyle w:val="Header"/>
      <w:jc w:val="center"/>
    </w:pPr>
    <w:r>
      <w:t xml:space="preserve">Fellows Independent Practice and Fellow’s Billing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44D4"/>
    <w:multiLevelType w:val="hybridMultilevel"/>
    <w:tmpl w:val="8B0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01"/>
    <w:rsid w:val="000D26A4"/>
    <w:rsid w:val="0018063E"/>
    <w:rsid w:val="001957CE"/>
    <w:rsid w:val="001A27B1"/>
    <w:rsid w:val="001A6C29"/>
    <w:rsid w:val="001F1A7B"/>
    <w:rsid w:val="002D24D2"/>
    <w:rsid w:val="002F02AD"/>
    <w:rsid w:val="00315C39"/>
    <w:rsid w:val="0041638A"/>
    <w:rsid w:val="00421508"/>
    <w:rsid w:val="004A2068"/>
    <w:rsid w:val="004D3CB0"/>
    <w:rsid w:val="004D42F9"/>
    <w:rsid w:val="005D3C20"/>
    <w:rsid w:val="00607EF9"/>
    <w:rsid w:val="007F6601"/>
    <w:rsid w:val="008A5D16"/>
    <w:rsid w:val="009119EB"/>
    <w:rsid w:val="00922DE8"/>
    <w:rsid w:val="00953082"/>
    <w:rsid w:val="009647F5"/>
    <w:rsid w:val="00A23C1C"/>
    <w:rsid w:val="00A822FA"/>
    <w:rsid w:val="00AA7DA8"/>
    <w:rsid w:val="00AB6290"/>
    <w:rsid w:val="00AE1260"/>
    <w:rsid w:val="00B05505"/>
    <w:rsid w:val="00B30508"/>
    <w:rsid w:val="00B57DDD"/>
    <w:rsid w:val="00BA290F"/>
    <w:rsid w:val="00D12B40"/>
    <w:rsid w:val="00D5492B"/>
    <w:rsid w:val="00E06557"/>
    <w:rsid w:val="00E679E4"/>
    <w:rsid w:val="00EA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A8C"/>
  <w15:chartTrackingRefBased/>
  <w15:docId w15:val="{C8041EE7-D8BA-41C9-A505-5CD1F45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C29"/>
    <w:pPr>
      <w:spacing w:before="100" w:beforeAutospacing="1" w:after="100" w:afterAutospacing="1"/>
    </w:pPr>
  </w:style>
  <w:style w:type="paragraph" w:styleId="Header">
    <w:name w:val="header"/>
    <w:basedOn w:val="Normal"/>
    <w:link w:val="HeaderChar"/>
    <w:uiPriority w:val="99"/>
    <w:unhideWhenUsed/>
    <w:rsid w:val="00BA290F"/>
    <w:pPr>
      <w:tabs>
        <w:tab w:val="center" w:pos="4680"/>
        <w:tab w:val="right" w:pos="9360"/>
      </w:tabs>
    </w:pPr>
  </w:style>
  <w:style w:type="character" w:customStyle="1" w:styleId="HeaderChar">
    <w:name w:val="Header Char"/>
    <w:basedOn w:val="DefaultParagraphFont"/>
    <w:link w:val="Header"/>
    <w:uiPriority w:val="99"/>
    <w:rsid w:val="00BA290F"/>
    <w:rPr>
      <w:rFonts w:ascii="Calibri" w:hAnsi="Calibri" w:cs="Calibri"/>
    </w:rPr>
  </w:style>
  <w:style w:type="paragraph" w:styleId="Footer">
    <w:name w:val="footer"/>
    <w:basedOn w:val="Normal"/>
    <w:link w:val="FooterChar"/>
    <w:uiPriority w:val="99"/>
    <w:unhideWhenUsed/>
    <w:rsid w:val="00BA290F"/>
    <w:pPr>
      <w:tabs>
        <w:tab w:val="center" w:pos="4680"/>
        <w:tab w:val="right" w:pos="9360"/>
      </w:tabs>
    </w:pPr>
  </w:style>
  <w:style w:type="character" w:customStyle="1" w:styleId="FooterChar">
    <w:name w:val="Footer Char"/>
    <w:basedOn w:val="DefaultParagraphFont"/>
    <w:link w:val="Footer"/>
    <w:uiPriority w:val="99"/>
    <w:rsid w:val="00BA290F"/>
    <w:rPr>
      <w:rFonts w:ascii="Calibri" w:hAnsi="Calibri" w:cs="Calibri"/>
    </w:rPr>
  </w:style>
  <w:style w:type="paragraph" w:styleId="ListParagraph">
    <w:name w:val="List Paragraph"/>
    <w:basedOn w:val="Normal"/>
    <w:uiPriority w:val="34"/>
    <w:qFormat/>
    <w:rsid w:val="00AA7DA8"/>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EA4CB3"/>
    <w:rPr>
      <w:sz w:val="16"/>
      <w:szCs w:val="16"/>
    </w:rPr>
  </w:style>
  <w:style w:type="paragraph" w:styleId="CommentText">
    <w:name w:val="annotation text"/>
    <w:basedOn w:val="Normal"/>
    <w:link w:val="CommentTextChar"/>
    <w:uiPriority w:val="99"/>
    <w:unhideWhenUsed/>
    <w:rsid w:val="00EA4CB3"/>
    <w:rPr>
      <w:sz w:val="20"/>
      <w:szCs w:val="20"/>
    </w:rPr>
  </w:style>
  <w:style w:type="character" w:customStyle="1" w:styleId="CommentTextChar">
    <w:name w:val="Comment Text Char"/>
    <w:basedOn w:val="DefaultParagraphFont"/>
    <w:link w:val="CommentText"/>
    <w:uiPriority w:val="99"/>
    <w:rsid w:val="00EA4C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A4CB3"/>
    <w:rPr>
      <w:b/>
      <w:bCs/>
    </w:rPr>
  </w:style>
  <w:style w:type="character" w:customStyle="1" w:styleId="CommentSubjectChar">
    <w:name w:val="Comment Subject Char"/>
    <w:basedOn w:val="CommentTextChar"/>
    <w:link w:val="CommentSubject"/>
    <w:uiPriority w:val="99"/>
    <w:semiHidden/>
    <w:rsid w:val="00EA4CB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5957">
      <w:bodyDiv w:val="1"/>
      <w:marLeft w:val="0"/>
      <w:marRight w:val="0"/>
      <w:marTop w:val="0"/>
      <w:marBottom w:val="0"/>
      <w:divBdr>
        <w:top w:val="none" w:sz="0" w:space="0" w:color="auto"/>
        <w:left w:val="none" w:sz="0" w:space="0" w:color="auto"/>
        <w:bottom w:val="none" w:sz="0" w:space="0" w:color="auto"/>
        <w:right w:val="none" w:sz="0" w:space="0" w:color="auto"/>
      </w:divBdr>
    </w:div>
    <w:div w:id="14663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dc:creator>
  <cp:keywords/>
  <dc:description/>
  <cp:lastModifiedBy>Turner, Wendy</cp:lastModifiedBy>
  <cp:revision>2</cp:revision>
  <dcterms:created xsi:type="dcterms:W3CDTF">2021-09-29T17:13:00Z</dcterms:created>
  <dcterms:modified xsi:type="dcterms:W3CDTF">2021-09-29T17:13:00Z</dcterms:modified>
</cp:coreProperties>
</file>